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2B13" w14:textId="77777777" w:rsidR="00E30AA5" w:rsidRPr="009B3324" w:rsidRDefault="00E30AA5" w:rsidP="00E30AA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B3324">
        <w:rPr>
          <w:rFonts w:ascii="Arial" w:hAnsi="Arial" w:cs="Arial"/>
          <w:b/>
          <w:bCs/>
          <w:color w:val="000000" w:themeColor="text1"/>
        </w:rPr>
        <w:t>CONCORRÊNCIA n. [</w:t>
      </w:r>
      <w:r>
        <w:rPr>
          <w:rFonts w:ascii="Arial" w:hAnsi="Arial" w:cs="Arial"/>
          <w:b/>
          <w:bCs/>
          <w:color w:val="000000" w:themeColor="text1"/>
        </w:rPr>
        <w:t>**]</w:t>
      </w:r>
    </w:p>
    <w:p w14:paraId="5F962E86" w14:textId="77777777" w:rsidR="00E30AA5" w:rsidRPr="009B3324" w:rsidRDefault="00E30AA5" w:rsidP="00E30AA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F83B47B" w14:textId="77777777" w:rsidR="00E30AA5" w:rsidRDefault="00E30AA5" w:rsidP="00E30AA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B3324">
        <w:rPr>
          <w:rFonts w:ascii="Arial" w:hAnsi="Arial" w:cs="Arial"/>
          <w:b/>
          <w:bCs/>
          <w:color w:val="000000" w:themeColor="text1"/>
        </w:rPr>
        <w:t>ANEXO IX</w:t>
      </w:r>
    </w:p>
    <w:p w14:paraId="1AAF9872" w14:textId="77777777" w:rsidR="00E30AA5" w:rsidRPr="009B3324" w:rsidRDefault="00E30AA5" w:rsidP="00E30AA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B3324">
        <w:rPr>
          <w:rFonts w:ascii="Arial" w:hAnsi="Arial" w:cs="Arial"/>
          <w:b/>
          <w:bCs/>
          <w:color w:val="000000" w:themeColor="text1"/>
        </w:rPr>
        <w:t>MATRIZ DE RISCO</w:t>
      </w:r>
    </w:p>
    <w:p w14:paraId="60651563" w14:textId="77777777" w:rsidR="00E30AA5" w:rsidRPr="009B3324" w:rsidRDefault="00E30AA5" w:rsidP="00E30AA5">
      <w:pPr>
        <w:pStyle w:val="Heading1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889B35" w14:textId="5A1282FF" w:rsidR="00E30AA5" w:rsidRDefault="00E30AA5" w:rsidP="00E30AA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3324">
        <w:rPr>
          <w:rFonts w:ascii="Arial" w:hAnsi="Arial" w:cs="Arial"/>
          <w:color w:val="000000" w:themeColor="text1"/>
        </w:rPr>
        <w:t>Neste Anexo são apresentados os riscos avaliados para nortear a elaboração das cláusulas contratuais:</w:t>
      </w:r>
    </w:p>
    <w:tbl>
      <w:tblPr>
        <w:tblStyle w:val="TableGrid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253"/>
      </w:tblGrid>
      <w:tr w:rsidR="0018100E" w14:paraId="236CC2E2" w14:textId="77777777" w:rsidTr="0018100E">
        <w:trPr>
          <w:cantSplit/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2B70A23" w14:textId="77777777" w:rsidR="00E30AA5" w:rsidRPr="006115A4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15A4">
              <w:rPr>
                <w:rFonts w:ascii="Arial" w:hAnsi="Arial" w:cs="Arial"/>
                <w:b/>
                <w:color w:val="000000" w:themeColor="text1"/>
              </w:rPr>
              <w:t>RISCO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0C97F1" w14:textId="77777777" w:rsidR="00E30AA5" w:rsidRPr="001B55EB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55EB">
              <w:rPr>
                <w:rFonts w:ascii="Arial" w:hAnsi="Arial" w:cs="Arial"/>
                <w:b/>
                <w:color w:val="000000" w:themeColor="text1"/>
              </w:rPr>
              <w:t>ALOCAÇÃO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2DA701" w14:textId="77777777" w:rsidR="00E30AA5" w:rsidRPr="006115A4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MECANISMO DE </w:t>
            </w:r>
            <w:r w:rsidRPr="006115A4">
              <w:rPr>
                <w:rFonts w:ascii="Arial" w:hAnsi="Arial" w:cs="Arial"/>
                <w:b/>
                <w:color w:val="000000" w:themeColor="text1"/>
              </w:rPr>
              <w:t>MITIGAÇÃO</w:t>
            </w:r>
          </w:p>
        </w:tc>
      </w:tr>
      <w:tr w:rsidR="0018100E" w14:paraId="53F7D8C1" w14:textId="77777777" w:rsidTr="0018100E">
        <w:trPr>
          <w:cantSplit/>
        </w:trPr>
        <w:tc>
          <w:tcPr>
            <w:tcW w:w="3261" w:type="dxa"/>
            <w:vAlign w:val="center"/>
          </w:tcPr>
          <w:p w14:paraId="1E7D12B3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5EB">
              <w:rPr>
                <w:rFonts w:ascii="Arial" w:hAnsi="Arial" w:cs="Arial"/>
                <w:color w:val="000000" w:themeColor="text1"/>
                <w:sz w:val="18"/>
                <w:szCs w:val="18"/>
              </w:rPr>
              <w:t>Inadimplência dos clientes (usuários)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frente à Concessionária de Distribuição de EE</w:t>
            </w:r>
          </w:p>
        </w:tc>
        <w:tc>
          <w:tcPr>
            <w:tcW w:w="1559" w:type="dxa"/>
            <w:vAlign w:val="center"/>
          </w:tcPr>
          <w:p w14:paraId="3F431227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0B1C33B2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5EB">
              <w:rPr>
                <w:rFonts w:ascii="Arial" w:hAnsi="Arial" w:cs="Arial"/>
                <w:color w:val="000000" w:themeColor="text1"/>
                <w:sz w:val="18"/>
                <w:szCs w:val="18"/>
              </w:rPr>
              <w:t>Gestão da arrecadação tributária municipal efetivada por meio da Concessionária de Distribuição de Energia Elétrica.</w:t>
            </w:r>
          </w:p>
        </w:tc>
      </w:tr>
      <w:tr w:rsidR="0018100E" w14:paraId="4995F83E" w14:textId="77777777" w:rsidTr="0018100E">
        <w:trPr>
          <w:cantSplit/>
        </w:trPr>
        <w:tc>
          <w:tcPr>
            <w:tcW w:w="3261" w:type="dxa"/>
            <w:vAlign w:val="center"/>
          </w:tcPr>
          <w:p w14:paraId="66433A94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5EB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Variação do Preço da Energia</w:t>
            </w:r>
          </w:p>
        </w:tc>
        <w:tc>
          <w:tcPr>
            <w:tcW w:w="1559" w:type="dxa"/>
            <w:vAlign w:val="center"/>
          </w:tcPr>
          <w:p w14:paraId="3C2B3122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6008B85F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5EB">
              <w:rPr>
                <w:rFonts w:ascii="Arial" w:hAnsi="Arial" w:cs="Arial"/>
                <w:color w:val="000000" w:themeColor="text1"/>
                <w:sz w:val="18"/>
                <w:szCs w:val="18"/>
              </w:rPr>
              <w:t>Gestão do preço de energia a ser realizada pelo Poder Público, sendo que sua variação não dará ensejo a pleitos de reequilíbrio a favor do Parceiro Privado.</w:t>
            </w:r>
          </w:p>
        </w:tc>
      </w:tr>
      <w:tr w:rsidR="0018100E" w14:paraId="59D128E1" w14:textId="77777777" w:rsidTr="0018100E">
        <w:trPr>
          <w:cantSplit/>
        </w:trPr>
        <w:tc>
          <w:tcPr>
            <w:tcW w:w="3261" w:type="dxa"/>
            <w:vAlign w:val="center"/>
          </w:tcPr>
          <w:p w14:paraId="1961334C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Taxa de Juros e condições de financiamento</w:t>
            </w:r>
          </w:p>
        </w:tc>
        <w:tc>
          <w:tcPr>
            <w:tcW w:w="1559" w:type="dxa"/>
            <w:vAlign w:val="center"/>
          </w:tcPr>
          <w:p w14:paraId="40F9BD1B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47D88E1F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Cláusula Contratual</w:t>
            </w:r>
          </w:p>
        </w:tc>
      </w:tr>
      <w:tr w:rsidR="0018100E" w14:paraId="09A21858" w14:textId="77777777" w:rsidTr="0018100E">
        <w:trPr>
          <w:cantSplit/>
        </w:trPr>
        <w:tc>
          <w:tcPr>
            <w:tcW w:w="3261" w:type="dxa"/>
            <w:vAlign w:val="center"/>
          </w:tcPr>
          <w:p w14:paraId="481A35FA" w14:textId="77777777" w:rsidR="00E30AA5" w:rsidRPr="00E423B3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Taxa de Remuneração e penalidades: impacto na Taxa de Remuneração pretendida pelo investidor em razão do pagamento de penalidades pelo Concessionário.</w:t>
            </w:r>
          </w:p>
        </w:tc>
        <w:tc>
          <w:tcPr>
            <w:tcW w:w="1559" w:type="dxa"/>
            <w:vAlign w:val="center"/>
          </w:tcPr>
          <w:p w14:paraId="3095836D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72DFAAA3" w14:textId="77777777" w:rsidR="00E30AA5" w:rsidRPr="00E423B3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Previsão de desconto direto da remuneração em caso de inadimplemento das obrigações contratuais.</w:t>
            </w:r>
          </w:p>
        </w:tc>
      </w:tr>
      <w:tr w:rsidR="0018100E" w14:paraId="737A44AD" w14:textId="77777777" w:rsidTr="0018100E">
        <w:trPr>
          <w:cantSplit/>
        </w:trPr>
        <w:tc>
          <w:tcPr>
            <w:tcW w:w="3261" w:type="dxa"/>
            <w:vAlign w:val="center"/>
          </w:tcPr>
          <w:p w14:paraId="2A8C9574" w14:textId="77777777" w:rsidR="00E30AA5" w:rsidRPr="00E423B3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Inadimplência da Concessionária perante as instituições financeiras</w:t>
            </w:r>
          </w:p>
        </w:tc>
        <w:tc>
          <w:tcPr>
            <w:tcW w:w="1559" w:type="dxa"/>
            <w:vAlign w:val="center"/>
          </w:tcPr>
          <w:p w14:paraId="6E4E406E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4B0AAC21" w14:textId="77777777" w:rsidR="00E30AA5" w:rsidRPr="00E423B3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Garantia de Execução</w:t>
            </w:r>
          </w:p>
        </w:tc>
      </w:tr>
      <w:tr w:rsidR="0018100E" w14:paraId="482BE96E" w14:textId="77777777" w:rsidTr="0018100E">
        <w:trPr>
          <w:cantSplit/>
        </w:trPr>
        <w:tc>
          <w:tcPr>
            <w:tcW w:w="3261" w:type="dxa"/>
            <w:vAlign w:val="center"/>
          </w:tcPr>
          <w:p w14:paraId="34A9A71F" w14:textId="77777777" w:rsidR="00E30AA5" w:rsidRPr="00E423B3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Risco de Falência da Concessionária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n</w:t>
            </w:r>
            <w:r w:rsidRPr="00E423B3">
              <w:rPr>
                <w:rFonts w:ascii="Arial" w:hAnsi="Arial" w:cs="Arial"/>
                <w:color w:val="000000" w:themeColor="text1"/>
                <w:sz w:val="18"/>
                <w:szCs w:val="18"/>
              </w:rPr>
              <w:t>ão obtenção de recursos para continuidade da parceria</w:t>
            </w:r>
          </w:p>
        </w:tc>
        <w:tc>
          <w:tcPr>
            <w:tcW w:w="1559" w:type="dxa"/>
            <w:vAlign w:val="center"/>
          </w:tcPr>
          <w:p w14:paraId="6B7D16EB" w14:textId="77777777" w:rsidR="00E30AA5" w:rsidRPr="002B1A3E" w:rsidRDefault="00E30AA5" w:rsidP="00645CA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38E51A3A" w14:textId="77777777" w:rsidR="00E30AA5" w:rsidRPr="001B55EB" w:rsidRDefault="00E30AA5" w:rsidP="00645CA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Garantia de Execução</w:t>
            </w:r>
          </w:p>
        </w:tc>
      </w:tr>
      <w:tr w:rsidR="0018100E" w14:paraId="2C7E661A" w14:textId="77777777" w:rsidTr="0018100E">
        <w:trPr>
          <w:cantSplit/>
        </w:trPr>
        <w:tc>
          <w:tcPr>
            <w:tcW w:w="3261" w:type="dxa"/>
            <w:vAlign w:val="center"/>
          </w:tcPr>
          <w:p w14:paraId="4992E87B" w14:textId="3F58274A" w:rsidR="00A461C9" w:rsidRPr="00E423B3" w:rsidRDefault="00A461C9" w:rsidP="00A461C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Risco Inflacionário</w:t>
            </w:r>
          </w:p>
        </w:tc>
        <w:tc>
          <w:tcPr>
            <w:tcW w:w="1559" w:type="dxa"/>
            <w:vAlign w:val="center"/>
          </w:tcPr>
          <w:p w14:paraId="23ED89C8" w14:textId="33E82563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6BEF2932" w14:textId="77777777" w:rsidR="00A461C9" w:rsidRPr="004E78D5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Previsão de cláusula de reajuste e de revisão ordinária e extraordinária para mitigar risco inflacionário que configure a álea econômica extraordinária.</w:t>
            </w:r>
          </w:p>
          <w:p w14:paraId="6ACB81FD" w14:textId="77777777" w:rsidR="00A461C9" w:rsidRPr="00E423B3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0E" w14:paraId="48571BDA" w14:textId="77777777" w:rsidTr="0018100E">
        <w:trPr>
          <w:cantSplit/>
        </w:trPr>
        <w:tc>
          <w:tcPr>
            <w:tcW w:w="3261" w:type="dxa"/>
            <w:vAlign w:val="center"/>
          </w:tcPr>
          <w:p w14:paraId="69B02E76" w14:textId="510C4206" w:rsidR="00A461C9" w:rsidRPr="00E423B3" w:rsidRDefault="00A461C9" w:rsidP="00A461C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Custo Energia</w:t>
            </w:r>
          </w:p>
        </w:tc>
        <w:tc>
          <w:tcPr>
            <w:tcW w:w="1559" w:type="dxa"/>
            <w:vAlign w:val="center"/>
          </w:tcPr>
          <w:p w14:paraId="26F365F8" w14:textId="5E4DB885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629BB3A8" w14:textId="66ACA613" w:rsidR="00A461C9" w:rsidRPr="00E423B3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Revisão da COSIP, caso a soma dos custos com a Contraprestação Mensal e despesas com Energia Elétrica se torne superior à arrecadação prevista.</w:t>
            </w:r>
          </w:p>
        </w:tc>
      </w:tr>
      <w:tr w:rsidR="0018100E" w14:paraId="4929A142" w14:textId="77777777" w:rsidTr="0018100E">
        <w:trPr>
          <w:cantSplit/>
        </w:trPr>
        <w:tc>
          <w:tcPr>
            <w:tcW w:w="3261" w:type="dxa"/>
            <w:vAlign w:val="center"/>
          </w:tcPr>
          <w:p w14:paraId="0FEB1570" w14:textId="086C05FD" w:rsidR="00A461C9" w:rsidRPr="00E423B3" w:rsidRDefault="00A461C9" w:rsidP="00A461C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lastRenderedPageBreak/>
              <w:t>Variação dos demais custos dos insumos e serviços</w:t>
            </w:r>
          </w:p>
        </w:tc>
        <w:tc>
          <w:tcPr>
            <w:tcW w:w="1559" w:type="dxa"/>
            <w:vAlign w:val="center"/>
          </w:tcPr>
          <w:p w14:paraId="48A2299A" w14:textId="332E81A5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1A305C67" w14:textId="77777777" w:rsidR="00A461C9" w:rsidRPr="004E78D5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Cláusula Contratual 4.6. 2.. A Concessionária é integral e exclusivamente responsável pelos seguintes riscos</w:t>
            </w:r>
          </w:p>
          <w:p w14:paraId="1022D077" w14:textId="4C559D81" w:rsidR="00A461C9" w:rsidRPr="00E423B3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(xi) Alterações dos custos dos serviços superior ou inferior ao índice utilizado para reajuste da Contraprestação Mensal ou de outros valores previstos no Contrato.</w:t>
            </w:r>
          </w:p>
        </w:tc>
      </w:tr>
      <w:tr w:rsidR="0018100E" w14:paraId="5C5447DD" w14:textId="77777777" w:rsidTr="0018100E">
        <w:trPr>
          <w:cantSplit/>
        </w:trPr>
        <w:tc>
          <w:tcPr>
            <w:tcW w:w="3261" w:type="dxa"/>
            <w:vAlign w:val="center"/>
          </w:tcPr>
          <w:p w14:paraId="314DF24D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Atendimento a cronogramas: atraso por culpa exclusiva da Concessionária</w:t>
            </w:r>
          </w:p>
        </w:tc>
        <w:tc>
          <w:tcPr>
            <w:tcW w:w="1559" w:type="dxa"/>
            <w:vAlign w:val="center"/>
          </w:tcPr>
          <w:p w14:paraId="16553B88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5ED995CA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Prever penalidade por atraso e a possibilidade de decretação de caducidade da concessão.</w:t>
            </w:r>
          </w:p>
        </w:tc>
      </w:tr>
      <w:tr w:rsidR="0018100E" w14:paraId="06A97C06" w14:textId="77777777" w:rsidTr="0018100E">
        <w:trPr>
          <w:cantSplit/>
        </w:trPr>
        <w:tc>
          <w:tcPr>
            <w:tcW w:w="3261" w:type="dxa"/>
            <w:vAlign w:val="center"/>
          </w:tcPr>
          <w:p w14:paraId="2855CF30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Atendimento a cronogramas: atraso em decorrência de questões relacionadas ao meio ambiente não causados pela </w:t>
            </w:r>
            <w:r>
              <w:rPr>
                <w:rFonts w:ascii="Arial" w:hAnsi="Arial" w:cs="Arial"/>
                <w:sz w:val="18"/>
                <w:szCs w:val="18"/>
              </w:rPr>
              <w:t>Concessionária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e/ou decorrentes de inadimplemento do Município.</w:t>
            </w:r>
          </w:p>
        </w:tc>
        <w:tc>
          <w:tcPr>
            <w:tcW w:w="1559" w:type="dxa"/>
            <w:vAlign w:val="center"/>
          </w:tcPr>
          <w:p w14:paraId="7EFA3F79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1993C394" w14:textId="77777777" w:rsidR="00A461C9" w:rsidRPr="004E78D5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 xml:space="preserve">a revisão dos prazos e cronogramas contratuais </w:t>
            </w:r>
          </w:p>
          <w:p w14:paraId="54C2D610" w14:textId="77777777" w:rsidR="00A461C9" w:rsidRPr="004E78D5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Rever equilíbrio do contrato</w:t>
            </w:r>
          </w:p>
          <w:p w14:paraId="6161F965" w14:textId="5ED649BB" w:rsidR="00A461C9" w:rsidRPr="004F6C4F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Suspensão de penalidades</w:t>
            </w:r>
          </w:p>
        </w:tc>
      </w:tr>
      <w:tr w:rsidR="0018100E" w:rsidRPr="001B55EB" w14:paraId="124D7E64" w14:textId="77777777" w:rsidTr="0018100E">
        <w:trPr>
          <w:cantSplit/>
        </w:trPr>
        <w:tc>
          <w:tcPr>
            <w:tcW w:w="3261" w:type="dxa"/>
            <w:vAlign w:val="center"/>
          </w:tcPr>
          <w:p w14:paraId="2F07ADF9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Desempenho contratual: Baixa qualidade no desempenho dos serviços concedidos</w:t>
            </w:r>
          </w:p>
        </w:tc>
        <w:tc>
          <w:tcPr>
            <w:tcW w:w="1559" w:type="dxa"/>
            <w:vAlign w:val="center"/>
          </w:tcPr>
          <w:p w14:paraId="54AA0159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19028FA5" w14:textId="77777777" w:rsidR="00A461C9" w:rsidRPr="004F6C4F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Prever a responsabilidade do Concessionário em atingir os padrões de qualidade na prestação dos serviços com penalidades proporcionais pelos descumprimentos dos padrões de qualidade.</w:t>
            </w:r>
          </w:p>
        </w:tc>
      </w:tr>
      <w:tr w:rsidR="0018100E" w:rsidRPr="001B55EB" w14:paraId="754F56A3" w14:textId="77777777" w:rsidTr="0018100E">
        <w:trPr>
          <w:cantSplit/>
        </w:trPr>
        <w:tc>
          <w:tcPr>
            <w:tcW w:w="3261" w:type="dxa"/>
            <w:vAlign w:val="center"/>
          </w:tcPr>
          <w:p w14:paraId="41F686D0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Tecnologia: inadequação da tecnologia empregada nas obras e no desempenho dos serviços concedidos.</w:t>
            </w:r>
          </w:p>
        </w:tc>
        <w:tc>
          <w:tcPr>
            <w:tcW w:w="1559" w:type="dxa"/>
            <w:vAlign w:val="center"/>
          </w:tcPr>
          <w:p w14:paraId="299EB427" w14:textId="77777777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206CC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597B96A6" w14:textId="77777777" w:rsidR="00A461C9" w:rsidRPr="004F6C4F" w:rsidRDefault="00A461C9" w:rsidP="00A461C9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 (i) a responsabilidade do Concessionário em manter a adequação técnica dos bens e instalações de obras e serviços, em cumprimento às obrigações contratuais; (ii) aplicação de penalidades proporcionais aos descumprimentos dos padrões de qualidade; </w:t>
            </w:r>
          </w:p>
        </w:tc>
      </w:tr>
      <w:tr w:rsidR="0018100E" w:rsidRPr="001B55EB" w14:paraId="5D513A4B" w14:textId="77777777" w:rsidTr="0018100E">
        <w:trPr>
          <w:cantSplit/>
        </w:trPr>
        <w:tc>
          <w:tcPr>
            <w:tcW w:w="3261" w:type="dxa"/>
            <w:vAlign w:val="center"/>
          </w:tcPr>
          <w:p w14:paraId="7FBBA079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Risco de Obsolescência Técnica ou Inovação</w:t>
            </w:r>
          </w:p>
        </w:tc>
        <w:tc>
          <w:tcPr>
            <w:tcW w:w="1559" w:type="dxa"/>
            <w:vAlign w:val="center"/>
          </w:tcPr>
          <w:p w14:paraId="5C084C80" w14:textId="77777777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6B9ECB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Compartilhada</w:t>
            </w:r>
          </w:p>
        </w:tc>
        <w:tc>
          <w:tcPr>
            <w:tcW w:w="4253" w:type="dxa"/>
            <w:vAlign w:val="center"/>
          </w:tcPr>
          <w:p w14:paraId="4CB7B8D9" w14:textId="77777777" w:rsidR="00A461C9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Estabelecer no contrato remuneração variável a partir de critérios de avaliação de desempenho operacional.</w:t>
            </w:r>
          </w:p>
          <w:p w14:paraId="3F3B3446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Previsão de revisão ordinária na n</w:t>
            </w:r>
            <w:r w:rsidRPr="005C10D6">
              <w:rPr>
                <w:rFonts w:ascii="Arial" w:hAnsi="Arial" w:cs="Arial"/>
                <w:sz w:val="18"/>
                <w:szCs w:val="18"/>
              </w:rPr>
              <w:t>ecessidade de adequação da tecnologia empregada com os parâmetros de atualidade</w:t>
            </w:r>
          </w:p>
        </w:tc>
      </w:tr>
      <w:tr w:rsidR="0018100E" w:rsidRPr="001B55EB" w14:paraId="4FB51FFA" w14:textId="77777777" w:rsidTr="0018100E">
        <w:trPr>
          <w:cantSplit/>
        </w:trPr>
        <w:tc>
          <w:tcPr>
            <w:tcW w:w="3261" w:type="dxa"/>
            <w:vAlign w:val="center"/>
          </w:tcPr>
          <w:p w14:paraId="1036396C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lastRenderedPageBreak/>
              <w:t xml:space="preserve">Passivo ambiental cujo fato gerador tenha ocorrido após a assunção, pela </w:t>
            </w:r>
            <w:r>
              <w:rPr>
                <w:rFonts w:ascii="Arial" w:hAnsi="Arial" w:cs="Arial"/>
                <w:sz w:val="18"/>
                <w:szCs w:val="18"/>
              </w:rPr>
              <w:t>Concessionária</w:t>
            </w:r>
            <w:r w:rsidRPr="004F6C4F">
              <w:rPr>
                <w:rFonts w:ascii="Arial" w:hAnsi="Arial" w:cs="Arial"/>
                <w:sz w:val="18"/>
                <w:szCs w:val="18"/>
              </w:rPr>
              <w:t>, do parque de iluminação pública, com a assinatura do respectivo Termo de Recebimento dos Bens, salvo quando:</w:t>
            </w:r>
          </w:p>
          <w:p w14:paraId="0B45A679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a) atos ou fatos ocorridos em decorrência do cumprimento, pela </w:t>
            </w:r>
            <w:r>
              <w:rPr>
                <w:rFonts w:ascii="Arial" w:hAnsi="Arial" w:cs="Arial"/>
                <w:sz w:val="18"/>
                <w:szCs w:val="18"/>
              </w:rPr>
              <w:t>Concessionária</w:t>
            </w:r>
            <w:r w:rsidRPr="004F6C4F">
              <w:rPr>
                <w:rFonts w:ascii="Arial" w:hAnsi="Arial" w:cs="Arial"/>
                <w:sz w:val="18"/>
                <w:szCs w:val="18"/>
              </w:rPr>
              <w:t>, de determinações do Município; ou</w:t>
            </w:r>
          </w:p>
          <w:p w14:paraId="0A103951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b) determinação de autoridade ambiental para adaptação à legislação aplicável, em prazos ou condições diferentes dos prazos e metas fixados para esta PPP.</w:t>
            </w:r>
          </w:p>
        </w:tc>
        <w:tc>
          <w:tcPr>
            <w:tcW w:w="1559" w:type="dxa"/>
            <w:vAlign w:val="center"/>
          </w:tcPr>
          <w:p w14:paraId="2B73853C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09CB1A1A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Concessionária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assumirá os riscos decorrentes do passivo ambiental, a serem mitigados por: (i) Investimento em equipamentos de segurança, treinamento dos funcionários; (ii) Contratação de seguro relativo ao objeto da Concessão.</w:t>
            </w:r>
          </w:p>
        </w:tc>
      </w:tr>
      <w:tr w:rsidR="0018100E" w:rsidRPr="001B55EB" w14:paraId="4930A5FB" w14:textId="77777777" w:rsidTr="0018100E">
        <w:trPr>
          <w:cantSplit/>
        </w:trPr>
        <w:tc>
          <w:tcPr>
            <w:tcW w:w="3261" w:type="dxa"/>
            <w:vAlign w:val="center"/>
          </w:tcPr>
          <w:p w14:paraId="72988D10" w14:textId="2B5BB070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Licenciamento: atraso na obtenção de licenças, permissões e autorizações relativas à Concessão, que sejam atribuíveis exclusivamente ao Concessionário. </w:t>
            </w:r>
          </w:p>
        </w:tc>
        <w:tc>
          <w:tcPr>
            <w:tcW w:w="1559" w:type="dxa"/>
            <w:vAlign w:val="center"/>
          </w:tcPr>
          <w:p w14:paraId="61689772" w14:textId="778C9359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 o</w:t>
            </w:r>
          </w:p>
        </w:tc>
        <w:tc>
          <w:tcPr>
            <w:tcW w:w="4253" w:type="dxa"/>
            <w:vAlign w:val="center"/>
          </w:tcPr>
          <w:p w14:paraId="21D876A9" w14:textId="77777777" w:rsidR="00A461C9" w:rsidRPr="004E78D5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Inclusão de cláusula prevendo (i) penalidades; (ii) reequilíbrio econômico-financeiro do Contrato a favor do Concedente; e, (iii) a revisão dos prazos e cronogramas contratuais.</w:t>
            </w:r>
          </w:p>
          <w:p w14:paraId="449953CD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0E" w:rsidRPr="001B55EB" w14:paraId="4EA7B4A7" w14:textId="77777777" w:rsidTr="0018100E">
        <w:trPr>
          <w:cantSplit/>
        </w:trPr>
        <w:tc>
          <w:tcPr>
            <w:tcW w:w="3261" w:type="dxa"/>
            <w:vAlign w:val="center"/>
          </w:tcPr>
          <w:p w14:paraId="637779A7" w14:textId="7BBC6286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Obrigações de obtenção de licenças, permissões e autorizações atribuídas ao Poder Concedente deverão ser por ele satisfeitas.</w:t>
            </w:r>
          </w:p>
        </w:tc>
        <w:tc>
          <w:tcPr>
            <w:tcW w:w="1559" w:type="dxa"/>
            <w:vAlign w:val="center"/>
          </w:tcPr>
          <w:p w14:paraId="7982F127" w14:textId="4BC40ECF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3B79091F" w14:textId="77777777" w:rsidR="00A461C9" w:rsidRPr="004E78D5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Inclusão de cláusula prevendo (i) suspensão de penalidades; (ii) reequilíbrio econômico-financeiro do Contrato a favor da Concessionária; e, (iii) a revisão dos prazos e cronogramas contratuais.</w:t>
            </w:r>
          </w:p>
          <w:p w14:paraId="2F6A5E2E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0E" w:rsidRPr="001B55EB" w14:paraId="1F91BBF6" w14:textId="77777777" w:rsidTr="0018100E">
        <w:trPr>
          <w:cantSplit/>
        </w:trPr>
        <w:tc>
          <w:tcPr>
            <w:tcW w:w="3261" w:type="dxa"/>
            <w:vAlign w:val="center"/>
          </w:tcPr>
          <w:p w14:paraId="6A5C6519" w14:textId="3C27B042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Passivos da Concessão: prejuízos causados a terceiros ou ao meio ambiente por fatos anteriores </w:t>
            </w:r>
            <w:r>
              <w:rPr>
                <w:rFonts w:ascii="Arial" w:hAnsi="Arial" w:cs="Arial"/>
                <w:sz w:val="18"/>
                <w:szCs w:val="18"/>
              </w:rPr>
              <w:t>à Data de Assunção do Contrato</w:t>
            </w:r>
            <w:r w:rsidRPr="004F6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759F64E4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7EEE85D8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Inclusão de cláusula prevendo (i) a responsabilidade do Poder Púbico. (ii) o ressarcimento do Concessionário em razão do passivo ambiental; (iii) e/ou casos de responsabilidade civil que tenham como causa fato anteriores à Concessão.</w:t>
            </w:r>
          </w:p>
        </w:tc>
      </w:tr>
      <w:tr w:rsidR="0018100E" w:rsidRPr="001B55EB" w14:paraId="31C936D7" w14:textId="77777777" w:rsidTr="0018100E">
        <w:trPr>
          <w:cantSplit/>
        </w:trPr>
        <w:tc>
          <w:tcPr>
            <w:tcW w:w="3261" w:type="dxa"/>
            <w:vAlign w:val="center"/>
          </w:tcPr>
          <w:p w14:paraId="34E49606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Responsabilidade pelos 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até a Data de Assunção</w:t>
            </w:r>
          </w:p>
        </w:tc>
        <w:tc>
          <w:tcPr>
            <w:tcW w:w="1559" w:type="dxa"/>
            <w:vAlign w:val="center"/>
          </w:tcPr>
          <w:p w14:paraId="405C2CDC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2B31D51B" w14:textId="2E20D0BE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Inclusão de cláusula prevendo (i) que a infraestrutura existente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4F6C4F">
              <w:rPr>
                <w:rFonts w:ascii="Arial" w:hAnsi="Arial" w:cs="Arial"/>
                <w:sz w:val="18"/>
                <w:szCs w:val="18"/>
              </w:rPr>
              <w:t>encontra instalada e funcionando de acordo com a legislação aplicável e (ii) que eventuais ilegalidades encontradas resultarão em ressarcimento do Concessionário pelos valores despendidos para a correção.</w:t>
            </w:r>
          </w:p>
        </w:tc>
      </w:tr>
      <w:tr w:rsidR="0018100E" w:rsidRPr="001B55EB" w14:paraId="0242435E" w14:textId="77777777" w:rsidTr="0018100E">
        <w:trPr>
          <w:cantSplit/>
        </w:trPr>
        <w:tc>
          <w:tcPr>
            <w:tcW w:w="3261" w:type="dxa"/>
            <w:vAlign w:val="center"/>
          </w:tcPr>
          <w:p w14:paraId="0F499B45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Mudanças das especificações técnicas da parceria a pedido da Concessionária.</w:t>
            </w:r>
          </w:p>
        </w:tc>
        <w:tc>
          <w:tcPr>
            <w:tcW w:w="1559" w:type="dxa"/>
            <w:vAlign w:val="center"/>
          </w:tcPr>
          <w:p w14:paraId="15D64C48" w14:textId="3BF4E25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5939320F" w14:textId="3C9BEADD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Obrigatoriedade de aprovação prévia das solicitações de alteração das especificações técnicas; Recomposição do equilíbrio econômico-financeiro do contrato a. favor do Concedente.</w:t>
            </w:r>
          </w:p>
        </w:tc>
      </w:tr>
      <w:tr w:rsidR="0018100E" w:rsidRPr="001B55EB" w14:paraId="2B41D7DB" w14:textId="77777777" w:rsidTr="0018100E">
        <w:trPr>
          <w:cantSplit/>
        </w:trPr>
        <w:tc>
          <w:tcPr>
            <w:tcW w:w="3261" w:type="dxa"/>
            <w:vAlign w:val="center"/>
          </w:tcPr>
          <w:p w14:paraId="431F1F6D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lastRenderedPageBreak/>
              <w:t>Eventual incapacidade da indústria em fornecer os bens e insumos necessários à prestação dos serviços.</w:t>
            </w:r>
          </w:p>
        </w:tc>
        <w:tc>
          <w:tcPr>
            <w:tcW w:w="1559" w:type="dxa"/>
            <w:vAlign w:val="center"/>
          </w:tcPr>
          <w:p w14:paraId="1C056DDF" w14:textId="77777777" w:rsidR="00A461C9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4C341" w14:textId="448DF029" w:rsidR="00A461C9" w:rsidRPr="002B1A3E" w:rsidRDefault="00021974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29D353C8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Adoção de medidas de eficiência na gestão do negócio. </w:t>
            </w:r>
            <w:r>
              <w:rPr>
                <w:rFonts w:ascii="Arial" w:hAnsi="Arial" w:cs="Arial"/>
                <w:sz w:val="18"/>
                <w:szCs w:val="18"/>
              </w:rPr>
              <w:t>Busca de bens e insumos no mercado estrangeiro, decorrente de caso fortuito ou força maior, com recomposição do equilíbrio econômico-financeiro. R</w:t>
            </w:r>
            <w:r w:rsidRPr="00D969D1">
              <w:rPr>
                <w:rFonts w:ascii="Arial" w:hAnsi="Arial" w:cs="Arial"/>
                <w:sz w:val="18"/>
                <w:szCs w:val="18"/>
              </w:rPr>
              <w:t>evisão dos prazos e cronogramas contratuais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00E" w:rsidRPr="001B55EB" w14:paraId="33D95BB4" w14:textId="77777777" w:rsidTr="0018100E">
        <w:trPr>
          <w:cantSplit/>
        </w:trPr>
        <w:tc>
          <w:tcPr>
            <w:tcW w:w="3261" w:type="dxa"/>
            <w:vAlign w:val="center"/>
          </w:tcPr>
          <w:p w14:paraId="1802A8E1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F6C4F">
              <w:rPr>
                <w:rFonts w:ascii="Arial" w:hAnsi="Arial" w:cs="Arial"/>
                <w:sz w:val="18"/>
                <w:szCs w:val="18"/>
              </w:rPr>
              <w:t>xpansão do parque de iluminação pública acima do previsto.</w:t>
            </w:r>
          </w:p>
        </w:tc>
        <w:tc>
          <w:tcPr>
            <w:tcW w:w="1559" w:type="dxa"/>
            <w:vAlign w:val="center"/>
          </w:tcPr>
          <w:p w14:paraId="39157BAF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0836A80B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Processo de recomposição do equilíbrio econômico-financeiro do contrato.</w:t>
            </w:r>
          </w:p>
        </w:tc>
      </w:tr>
      <w:tr w:rsidR="0018100E" w:rsidRPr="001B55EB" w14:paraId="3043CA26" w14:textId="77777777" w:rsidTr="0018100E">
        <w:trPr>
          <w:cantSplit/>
        </w:trPr>
        <w:tc>
          <w:tcPr>
            <w:tcW w:w="3261" w:type="dxa"/>
            <w:vAlign w:val="center"/>
          </w:tcPr>
          <w:p w14:paraId="349FDA97" w14:textId="77777777" w:rsidR="00A461C9" w:rsidRPr="002B1A3E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B1A3E">
              <w:rPr>
                <w:rFonts w:ascii="Arial" w:hAnsi="Arial" w:cs="Arial"/>
                <w:sz w:val="18"/>
                <w:szCs w:val="18"/>
              </w:rPr>
              <w:t>Modificação da legislação tributária ou Decisão judicial</w:t>
            </w:r>
          </w:p>
        </w:tc>
        <w:tc>
          <w:tcPr>
            <w:tcW w:w="1559" w:type="dxa"/>
            <w:vAlign w:val="center"/>
          </w:tcPr>
          <w:p w14:paraId="7391904B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32598B5A" w14:textId="77777777" w:rsidR="00A461C9" w:rsidRPr="002B1A3E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B1A3E">
              <w:rPr>
                <w:rFonts w:ascii="Arial" w:hAnsi="Arial" w:cs="Arial"/>
                <w:sz w:val="18"/>
                <w:szCs w:val="18"/>
              </w:rPr>
              <w:t>reve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B1A3E">
              <w:rPr>
                <w:rFonts w:ascii="Arial" w:hAnsi="Arial" w:cs="Arial"/>
                <w:sz w:val="18"/>
                <w:szCs w:val="18"/>
              </w:rPr>
              <w:t xml:space="preserve"> o reequilíbrio econômico-financeiro</w:t>
            </w:r>
            <w:r>
              <w:rPr>
                <w:rFonts w:ascii="Arial" w:hAnsi="Arial" w:cs="Arial"/>
                <w:sz w:val="18"/>
                <w:szCs w:val="18"/>
              </w:rPr>
              <w:t>, salvo Imposto e Contribuição sobre a Renda</w:t>
            </w:r>
            <w:r w:rsidRPr="002B1A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00E" w:rsidRPr="001B55EB" w14:paraId="4C5F870F" w14:textId="77777777" w:rsidTr="0018100E">
        <w:trPr>
          <w:cantSplit/>
        </w:trPr>
        <w:tc>
          <w:tcPr>
            <w:tcW w:w="3261" w:type="dxa"/>
            <w:vAlign w:val="center"/>
          </w:tcPr>
          <w:p w14:paraId="33AECE1A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Alterações de obrigações: imposição unilateral do Poder Público </w:t>
            </w:r>
            <w:r>
              <w:rPr>
                <w:rFonts w:ascii="Arial" w:hAnsi="Arial" w:cs="Arial"/>
                <w:sz w:val="18"/>
                <w:szCs w:val="18"/>
              </w:rPr>
              <w:t xml:space="preserve">ou Poder Concedente </w:t>
            </w:r>
            <w:r w:rsidRPr="004F6C4F">
              <w:rPr>
                <w:rFonts w:ascii="Arial" w:hAnsi="Arial" w:cs="Arial"/>
                <w:sz w:val="18"/>
                <w:szCs w:val="18"/>
              </w:rPr>
              <w:t>de novas obrigações ou alteração das inicialmente previstas no Contrato que provoquem impacto nos custos e encargos do Concessionário</w:t>
            </w:r>
            <w:r>
              <w:rPr>
                <w:rFonts w:ascii="Arial" w:hAnsi="Arial" w:cs="Arial"/>
                <w:sz w:val="18"/>
                <w:szCs w:val="18"/>
              </w:rPr>
              <w:t>, inclusive a i</w:t>
            </w:r>
            <w:r w:rsidRPr="002672A8">
              <w:rPr>
                <w:rFonts w:ascii="Arial" w:hAnsi="Arial" w:cs="Arial"/>
                <w:sz w:val="18"/>
                <w:szCs w:val="18"/>
              </w:rPr>
              <w:t>mplantação de nova tecnologia</w:t>
            </w:r>
            <w:r w:rsidRPr="004F6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54257B0F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3CEED075" w14:textId="6E428C8A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br/>
            </w:r>
            <w:r w:rsidR="00021974">
              <w:rPr>
                <w:rFonts w:ascii="Arial" w:hAnsi="Arial" w:cs="Arial"/>
                <w:sz w:val="18"/>
                <w:szCs w:val="18"/>
              </w:rPr>
              <w:t xml:space="preserve">Prever </w:t>
            </w:r>
            <w:r w:rsidRPr="004F6C4F">
              <w:rPr>
                <w:rFonts w:ascii="Arial" w:hAnsi="Arial" w:cs="Arial"/>
                <w:sz w:val="18"/>
                <w:szCs w:val="18"/>
              </w:rPr>
              <w:t>o reequilíbrio econômico-financeiro do Contrato e o pagamento direto ao Concessionário, tendo como base os valores por ela fixados.</w:t>
            </w:r>
          </w:p>
          <w:p w14:paraId="30BFE276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8100E" w:rsidRPr="001B55EB" w14:paraId="10288850" w14:textId="77777777" w:rsidTr="0018100E">
        <w:trPr>
          <w:cantSplit/>
        </w:trPr>
        <w:tc>
          <w:tcPr>
            <w:tcW w:w="3261" w:type="dxa"/>
            <w:vAlign w:val="center"/>
          </w:tcPr>
          <w:p w14:paraId="07CD1B27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Necessidade de revisão do convênio de arrecadação da COSIP entre Município e Distribuidora de Energia Elétrica.</w:t>
            </w:r>
          </w:p>
        </w:tc>
        <w:tc>
          <w:tcPr>
            <w:tcW w:w="1559" w:type="dxa"/>
            <w:vAlign w:val="center"/>
          </w:tcPr>
          <w:p w14:paraId="62974C55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61583650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(i) possibilidade de postergação dos investimentos; (ii) continuidade dos serviços essenciais; (iii) reequilíbrio econômico-financeiro do contrato.</w:t>
            </w:r>
          </w:p>
        </w:tc>
      </w:tr>
      <w:tr w:rsidR="0018100E" w:rsidRPr="001B55EB" w14:paraId="057E94DD" w14:textId="77777777" w:rsidTr="0018100E">
        <w:trPr>
          <w:cantSplit/>
        </w:trPr>
        <w:tc>
          <w:tcPr>
            <w:tcW w:w="3261" w:type="dxa"/>
            <w:vAlign w:val="center"/>
          </w:tcPr>
          <w:p w14:paraId="7E021217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Inadimplemento pelo Poder 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descumprimento das obrigações contratua</w:t>
            </w:r>
            <w:r>
              <w:rPr>
                <w:rFonts w:ascii="Arial" w:hAnsi="Arial" w:cs="Arial"/>
                <w:sz w:val="18"/>
                <w:szCs w:val="18"/>
              </w:rPr>
              <w:t>is,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tais como: </w:t>
            </w:r>
            <w:r w:rsidRPr="004F6C4F">
              <w:rPr>
                <w:rFonts w:ascii="Arial" w:hAnsi="Arial" w:cs="Arial"/>
                <w:sz w:val="18"/>
                <w:szCs w:val="18"/>
              </w:rPr>
              <w:t>inadimplemento do pagamento da contraprestação pecuniária ou ao descumprimento de prazos previstos no Contrato e imputados ao Poder Concedente.</w:t>
            </w:r>
          </w:p>
        </w:tc>
        <w:tc>
          <w:tcPr>
            <w:tcW w:w="1559" w:type="dxa"/>
            <w:vAlign w:val="center"/>
          </w:tcPr>
          <w:p w14:paraId="307D02EE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46E620A1" w14:textId="1827586C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(i) a execução da garantia pública constituída em favor do Concessionário; (ii) o reequilíbrio econômico-financeiro do Contrato.</w:t>
            </w:r>
          </w:p>
        </w:tc>
      </w:tr>
      <w:tr w:rsidR="0018100E" w:rsidRPr="001B55EB" w14:paraId="7D6AAF69" w14:textId="77777777" w:rsidTr="0018100E">
        <w:trPr>
          <w:cantSplit/>
        </w:trPr>
        <w:tc>
          <w:tcPr>
            <w:tcW w:w="3261" w:type="dxa"/>
            <w:vAlign w:val="center"/>
          </w:tcPr>
          <w:p w14:paraId="642183A0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Disputas/Controvérsias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entre as partes.</w:t>
            </w:r>
          </w:p>
        </w:tc>
        <w:tc>
          <w:tcPr>
            <w:tcW w:w="1559" w:type="dxa"/>
            <w:vAlign w:val="center"/>
          </w:tcPr>
          <w:p w14:paraId="74C38ACE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Compartilhado</w:t>
            </w:r>
          </w:p>
        </w:tc>
        <w:tc>
          <w:tcPr>
            <w:tcW w:w="4253" w:type="dxa"/>
            <w:vAlign w:val="center"/>
          </w:tcPr>
          <w:p w14:paraId="0CB10071" w14:textId="77777777" w:rsidR="00A461C9" w:rsidRPr="004F6C4F" w:rsidRDefault="00A461C9" w:rsidP="00A461C9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Cláusula contratual de</w:t>
            </w:r>
            <w:r>
              <w:rPr>
                <w:rFonts w:ascii="Arial" w:hAnsi="Arial" w:cs="Arial"/>
                <w:sz w:val="18"/>
                <w:szCs w:val="18"/>
              </w:rPr>
              <w:t xml:space="preserve"> Verificador Independente,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arbitragem e mediação entre as partes.</w:t>
            </w:r>
          </w:p>
        </w:tc>
      </w:tr>
      <w:tr w:rsidR="0018100E" w:rsidRPr="001B55EB" w14:paraId="78C4E2A8" w14:textId="77777777" w:rsidTr="0018100E">
        <w:trPr>
          <w:cantSplit/>
        </w:trPr>
        <w:tc>
          <w:tcPr>
            <w:tcW w:w="3261" w:type="dxa"/>
            <w:vAlign w:val="center"/>
          </w:tcPr>
          <w:p w14:paraId="00D8507A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Greve</w:t>
            </w:r>
            <w:r>
              <w:rPr>
                <w:rFonts w:ascii="Arial" w:hAnsi="Arial" w:cs="Arial"/>
                <w:sz w:val="18"/>
                <w:szCs w:val="18"/>
              </w:rPr>
              <w:t xml:space="preserve"> dos funcionários da Concessionária, terceirizados ou subcontratados.</w:t>
            </w:r>
          </w:p>
        </w:tc>
        <w:tc>
          <w:tcPr>
            <w:tcW w:w="1559" w:type="dxa"/>
            <w:vAlign w:val="center"/>
          </w:tcPr>
          <w:p w14:paraId="0593F938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18CC82DC" w14:textId="77777777" w:rsidR="00A461C9" w:rsidRPr="004F6C4F" w:rsidRDefault="00A461C9" w:rsidP="00A461C9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Adoção de planos contra greves de seus colaboradores</w:t>
            </w:r>
            <w:r>
              <w:rPr>
                <w:rFonts w:ascii="Arial" w:hAnsi="Arial" w:cs="Arial"/>
                <w:sz w:val="18"/>
                <w:szCs w:val="18"/>
              </w:rPr>
              <w:t>, terceirizados ou subcontratados</w:t>
            </w:r>
            <w:r w:rsidRPr="004F6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00E" w:rsidRPr="001B55EB" w14:paraId="30D3A812" w14:textId="77777777" w:rsidTr="0018100E">
        <w:trPr>
          <w:cantSplit/>
        </w:trPr>
        <w:tc>
          <w:tcPr>
            <w:tcW w:w="3261" w:type="dxa"/>
            <w:vAlign w:val="center"/>
          </w:tcPr>
          <w:p w14:paraId="34383276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lastRenderedPageBreak/>
              <w:t>Caso fortuito e força maior: interrupção na prestação dos serviços ou danos causados por eventos caracterizados como caso fortuito ou força maior por eventos verificados em dias atípicos.</w:t>
            </w:r>
          </w:p>
        </w:tc>
        <w:tc>
          <w:tcPr>
            <w:tcW w:w="1559" w:type="dxa"/>
            <w:vAlign w:val="center"/>
          </w:tcPr>
          <w:p w14:paraId="6AF4A66A" w14:textId="77777777" w:rsidR="00A461C9" w:rsidRPr="002B1A3E" w:rsidRDefault="00A461C9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>Compartilhado</w:t>
            </w:r>
          </w:p>
        </w:tc>
        <w:tc>
          <w:tcPr>
            <w:tcW w:w="4253" w:type="dxa"/>
            <w:vAlign w:val="center"/>
          </w:tcPr>
          <w:p w14:paraId="46A130A3" w14:textId="63D85DC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F6C4F">
              <w:rPr>
                <w:rFonts w:ascii="Arial" w:hAnsi="Arial" w:cs="Arial"/>
                <w:sz w:val="18"/>
                <w:szCs w:val="18"/>
              </w:rPr>
              <w:t>reve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(i) exclusão de responsabilidade do Concessionário quando relacionado ao desempenho da prestação dos serviços; (ii) obrigação de o Concessionário arcar com a substituição </w:t>
            </w:r>
            <w:r w:rsidR="00021974" w:rsidRPr="004E78D5">
              <w:rPr>
                <w:rFonts w:ascii="Arial" w:hAnsi="Arial" w:cs="Arial"/>
                <w:sz w:val="18"/>
                <w:szCs w:val="18"/>
              </w:rPr>
              <w:t xml:space="preserve">dos quantitativos indicados no item 7.1.4.3.3. </w:t>
            </w:r>
            <w:r w:rsidR="00021974" w:rsidRPr="00D50E1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D50E17" w:rsidRPr="00D50E17">
              <w:rPr>
                <w:rFonts w:ascii="Arial" w:hAnsi="Arial" w:cs="Arial"/>
                <w:sz w:val="18"/>
                <w:szCs w:val="18"/>
              </w:rPr>
              <w:t xml:space="preserve">MEMORIAL TÉCNICO </w:t>
            </w:r>
            <w:r w:rsidR="00C838D1" w:rsidRPr="00D50E17">
              <w:rPr>
                <w:rFonts w:ascii="Arial" w:hAnsi="Arial" w:cs="Arial"/>
                <w:sz w:val="18"/>
                <w:szCs w:val="18"/>
              </w:rPr>
              <w:t>DESCRITIVO</w:t>
            </w:r>
            <w:r w:rsidR="00C83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38D1" w:rsidRPr="004E78D5">
              <w:rPr>
                <w:rFonts w:ascii="Arial" w:hAnsi="Arial" w:cs="Arial"/>
                <w:sz w:val="18"/>
                <w:szCs w:val="18"/>
              </w:rPr>
              <w:t>com</w:t>
            </w:r>
            <w:r w:rsidR="00021974" w:rsidRPr="004E78D5">
              <w:rPr>
                <w:rFonts w:ascii="Arial" w:hAnsi="Arial" w:cs="Arial"/>
                <w:sz w:val="18"/>
                <w:szCs w:val="18"/>
              </w:rPr>
              <w:t xml:space="preserve"> previsão de reequilíbrio para quantitativos maiores;</w:t>
            </w:r>
            <w:r w:rsidRPr="004F6C4F">
              <w:rPr>
                <w:rFonts w:ascii="Arial" w:hAnsi="Arial" w:cs="Arial"/>
                <w:sz w:val="18"/>
                <w:szCs w:val="18"/>
              </w:rPr>
              <w:t>; (iii) obrigação de contratação de seguros pelo Concessionário para os riscos usuais (</w:t>
            </w:r>
            <w:r w:rsidRPr="004F6C4F">
              <w:rPr>
                <w:rFonts w:ascii="Arial" w:hAnsi="Arial" w:cs="Arial"/>
                <w:i/>
                <w:sz w:val="18"/>
                <w:szCs w:val="18"/>
              </w:rPr>
              <w:t>e.g</w:t>
            </w:r>
            <w:r w:rsidRPr="004F6C4F">
              <w:rPr>
                <w:rFonts w:ascii="Arial" w:hAnsi="Arial" w:cs="Arial"/>
                <w:sz w:val="18"/>
                <w:szCs w:val="18"/>
              </w:rPr>
              <w:t>. incêndio no CCO).</w:t>
            </w:r>
          </w:p>
        </w:tc>
      </w:tr>
      <w:tr w:rsidR="0018100E" w:rsidRPr="001B55EB" w14:paraId="36EB2154" w14:textId="77777777" w:rsidTr="0018100E">
        <w:trPr>
          <w:cantSplit/>
        </w:trPr>
        <w:tc>
          <w:tcPr>
            <w:tcW w:w="3261" w:type="dxa"/>
            <w:vAlign w:val="center"/>
          </w:tcPr>
          <w:p w14:paraId="42E37FA0" w14:textId="7777777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Atos de Terceiros: Interrupção na prestação dos serviços ou danos em decorrência de Atos de Terceiro (vandalismo, roubo, furto, interrupção do fornecimento de energia elétrica por terceiros ou quaisquer outros atos de terceiros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que impeçam, parcial ou integralmente, a prestação do serviço de iluminação pública, incluindo a má qualidade no fornecimento de energia ou a sua inadequação aos parâmetros para a prestação adequada dos serviços pelo Concessionário.</w:t>
            </w:r>
          </w:p>
        </w:tc>
        <w:tc>
          <w:tcPr>
            <w:tcW w:w="1559" w:type="dxa"/>
            <w:vAlign w:val="center"/>
          </w:tcPr>
          <w:p w14:paraId="2CA3E2BC" w14:textId="1D1E21F2" w:rsidR="00A461C9" w:rsidRPr="002B1A3E" w:rsidRDefault="00021974" w:rsidP="00A461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263E1652" w14:textId="7F20E1A7" w:rsidR="00A461C9" w:rsidRPr="004F6C4F" w:rsidRDefault="00A461C9" w:rsidP="00A461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 xml:space="preserve">Inclusão de cláusula </w:t>
            </w:r>
            <w:r w:rsidR="00C838D1" w:rsidRPr="004F6C4F">
              <w:rPr>
                <w:rFonts w:ascii="Arial" w:hAnsi="Arial" w:cs="Arial"/>
                <w:sz w:val="18"/>
                <w:szCs w:val="18"/>
              </w:rPr>
              <w:t>prevendo exclusão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de responsabilidade pela suspensão do fornecimento, em atenção ao desempenho do Concessionário; </w:t>
            </w:r>
          </w:p>
        </w:tc>
      </w:tr>
      <w:tr w:rsidR="0018100E" w:rsidRPr="001B55EB" w14:paraId="12F20C89" w14:textId="77777777" w:rsidTr="0018100E">
        <w:trPr>
          <w:cantSplit/>
        </w:trPr>
        <w:tc>
          <w:tcPr>
            <w:tcW w:w="3261" w:type="dxa"/>
            <w:vAlign w:val="center"/>
          </w:tcPr>
          <w:p w14:paraId="756A6FAD" w14:textId="2371C0E1" w:rsidR="00021974" w:rsidRPr="004F6C4F" w:rsidRDefault="00021974" w:rsidP="00021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 xml:space="preserve">Atos de Terceiros: Interrupção na prestação dos serviços ou danos em decorrência de Atos de Terceiro (vandalismo, roubo, furto, ou quaisquer outros atos de terceiros) que impeçam, parcial ou integralmente, a prestação do serviço de iluminação pública, </w:t>
            </w:r>
          </w:p>
        </w:tc>
        <w:tc>
          <w:tcPr>
            <w:tcW w:w="1559" w:type="dxa"/>
            <w:vAlign w:val="center"/>
          </w:tcPr>
          <w:p w14:paraId="0F4B29BA" w14:textId="5E014703" w:rsidR="00021974" w:rsidRPr="002B1A3E" w:rsidRDefault="00021974" w:rsidP="0002197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518C6B02" w14:textId="6AD22837" w:rsidR="00021974" w:rsidRPr="004F6C4F" w:rsidRDefault="00021974" w:rsidP="00021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E78D5">
              <w:rPr>
                <w:rFonts w:ascii="Arial" w:hAnsi="Arial" w:cs="Arial"/>
                <w:sz w:val="18"/>
                <w:szCs w:val="18"/>
              </w:rPr>
              <w:t xml:space="preserve"> Concessionário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deve</w:t>
            </w:r>
            <w:r w:rsidRPr="004E78D5">
              <w:rPr>
                <w:rFonts w:ascii="Arial" w:hAnsi="Arial" w:cs="Arial"/>
                <w:sz w:val="18"/>
                <w:szCs w:val="18"/>
              </w:rPr>
              <w:t xml:space="preserve"> arcar com a </w:t>
            </w:r>
            <w:r>
              <w:rPr>
                <w:rFonts w:ascii="Arial" w:hAnsi="Arial" w:cs="Arial"/>
                <w:sz w:val="18"/>
                <w:szCs w:val="18"/>
              </w:rPr>
              <w:t>restitu</w:t>
            </w:r>
            <w:r w:rsidRPr="004E78D5">
              <w:rPr>
                <w:rFonts w:ascii="Arial" w:hAnsi="Arial" w:cs="Arial"/>
                <w:sz w:val="18"/>
                <w:szCs w:val="18"/>
              </w:rPr>
              <w:t xml:space="preserve">ição </w:t>
            </w:r>
            <w:r>
              <w:rPr>
                <w:rFonts w:ascii="Arial" w:hAnsi="Arial" w:cs="Arial"/>
                <w:sz w:val="18"/>
                <w:szCs w:val="18"/>
              </w:rPr>
              <w:t>conforme</w:t>
            </w:r>
            <w:r w:rsidRPr="004E78D5">
              <w:rPr>
                <w:rFonts w:ascii="Arial" w:hAnsi="Arial" w:cs="Arial"/>
                <w:sz w:val="18"/>
                <w:szCs w:val="18"/>
              </w:rPr>
              <w:t xml:space="preserve"> indicado no item 7.1.4.3.3. do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 I – MEMORIAL </w:t>
            </w:r>
            <w:r w:rsidR="00D50E17">
              <w:rPr>
                <w:rFonts w:ascii="Arial" w:hAnsi="Arial" w:cs="Arial"/>
                <w:sz w:val="18"/>
                <w:szCs w:val="18"/>
              </w:rPr>
              <w:t xml:space="preserve">TÉCNICO </w:t>
            </w:r>
            <w:r>
              <w:rPr>
                <w:rFonts w:ascii="Arial" w:hAnsi="Arial" w:cs="Arial"/>
                <w:sz w:val="18"/>
                <w:szCs w:val="18"/>
              </w:rPr>
              <w:t>DESCRITIVO</w:t>
            </w:r>
            <w:r w:rsidRPr="004E78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00E" w:rsidRPr="001B55EB" w14:paraId="733C2E35" w14:textId="77777777" w:rsidTr="0018100E">
        <w:trPr>
          <w:cantSplit/>
        </w:trPr>
        <w:tc>
          <w:tcPr>
            <w:tcW w:w="3261" w:type="dxa"/>
            <w:vAlign w:val="center"/>
          </w:tcPr>
          <w:p w14:paraId="6AD7B151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6C4F">
              <w:rPr>
                <w:rFonts w:ascii="Arial" w:hAnsi="Arial" w:cs="Arial"/>
                <w:sz w:val="18"/>
                <w:szCs w:val="18"/>
              </w:rPr>
              <w:t>Riscos Trabalhistas e demais encargos: obediência à legislação trabalhista, previdenciária, de segurança e medicina do trabalho, encargo fiscal e comercial.</w:t>
            </w:r>
          </w:p>
        </w:tc>
        <w:tc>
          <w:tcPr>
            <w:tcW w:w="1559" w:type="dxa"/>
            <w:vAlign w:val="center"/>
          </w:tcPr>
          <w:p w14:paraId="6FBA708D" w14:textId="77777777" w:rsidR="00021974" w:rsidRPr="002B1A3E" w:rsidRDefault="00021974" w:rsidP="0002197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sz w:val="18"/>
                <w:szCs w:val="18"/>
              </w:rPr>
              <w:t xml:space="preserve">Parceiro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Privado</w:t>
            </w:r>
          </w:p>
        </w:tc>
        <w:tc>
          <w:tcPr>
            <w:tcW w:w="4253" w:type="dxa"/>
            <w:vAlign w:val="center"/>
          </w:tcPr>
          <w:p w14:paraId="5E7CC270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Prever</w:t>
            </w:r>
            <w:r w:rsidRPr="004F6C4F">
              <w:rPr>
                <w:rFonts w:ascii="Arial" w:hAnsi="Arial" w:cs="Arial"/>
                <w:sz w:val="18"/>
                <w:szCs w:val="18"/>
              </w:rPr>
              <w:t xml:space="preserve"> cláusula</w:t>
            </w:r>
            <w:r>
              <w:rPr>
                <w:rFonts w:ascii="Arial" w:hAnsi="Arial" w:cs="Arial"/>
                <w:sz w:val="18"/>
                <w:szCs w:val="18"/>
              </w:rPr>
              <w:t xml:space="preserve"> isentando o Poder Público de eventuais pleitos trabalhistas de funcionários da Concessionária.</w:t>
            </w:r>
          </w:p>
        </w:tc>
      </w:tr>
      <w:tr w:rsidR="0018100E" w:rsidRPr="001B55EB" w14:paraId="591548C7" w14:textId="77777777" w:rsidTr="0018100E">
        <w:trPr>
          <w:cantSplit/>
        </w:trPr>
        <w:tc>
          <w:tcPr>
            <w:tcW w:w="3261" w:type="dxa"/>
            <w:vAlign w:val="center"/>
          </w:tcPr>
          <w:p w14:paraId="66C59A31" w14:textId="7E93ED3C" w:rsidR="00021974" w:rsidRPr="00052B02" w:rsidRDefault="00021974" w:rsidP="00021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52B02">
              <w:rPr>
                <w:rFonts w:ascii="Arial" w:hAnsi="Arial" w:cs="Arial"/>
                <w:sz w:val="18"/>
                <w:szCs w:val="18"/>
              </w:rPr>
              <w:t>Ações judiciais movidas por terceiros</w:t>
            </w:r>
            <w:r>
              <w:rPr>
                <w:rFonts w:ascii="Arial" w:hAnsi="Arial" w:cs="Arial"/>
                <w:sz w:val="18"/>
                <w:szCs w:val="18"/>
              </w:rPr>
              <w:t xml:space="preserve"> por fato gerador posterior à Data de Assunção.</w:t>
            </w:r>
          </w:p>
        </w:tc>
        <w:tc>
          <w:tcPr>
            <w:tcW w:w="1559" w:type="dxa"/>
            <w:vAlign w:val="center"/>
          </w:tcPr>
          <w:p w14:paraId="45B93C37" w14:textId="77777777" w:rsidR="00021974" w:rsidRPr="00052B02" w:rsidRDefault="00021974" w:rsidP="0002197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B02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6E47F1D4" w14:textId="77777777" w:rsidR="00021974" w:rsidRPr="00052B02" w:rsidRDefault="00021974" w:rsidP="00021974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52B02">
              <w:rPr>
                <w:rFonts w:ascii="Arial" w:hAnsi="Arial" w:cs="Arial"/>
                <w:sz w:val="18"/>
                <w:szCs w:val="18"/>
              </w:rPr>
              <w:t>Observância à legislação e normas vigentes.</w:t>
            </w:r>
          </w:p>
        </w:tc>
      </w:tr>
      <w:tr w:rsidR="0018100E" w:rsidRPr="001B55EB" w14:paraId="51F34620" w14:textId="77777777" w:rsidTr="0018100E">
        <w:trPr>
          <w:cantSplit/>
        </w:trPr>
        <w:tc>
          <w:tcPr>
            <w:tcW w:w="3261" w:type="dxa"/>
            <w:vAlign w:val="center"/>
          </w:tcPr>
          <w:p w14:paraId="2095D063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Alteração legislativa, decisão judicial ou administrativa que impacte, impeça ou impossibilite a CONCESSIONÁRIA de prestar integral ou parcialmente os Encargos, ou que interrompa ou suspenda o reajuste ou pagamento da Contraprestação Mensal, a constituição, a reposição ou a substituição da Garantia Pública, exceto nos casos que a CONCESSIONÁRIA houver dado causa a tal decisão; e</w:t>
            </w:r>
          </w:p>
        </w:tc>
        <w:tc>
          <w:tcPr>
            <w:tcW w:w="1559" w:type="dxa"/>
            <w:vAlign w:val="center"/>
          </w:tcPr>
          <w:p w14:paraId="2E68347E" w14:textId="77777777" w:rsidR="00021974" w:rsidRPr="002B1A3E" w:rsidRDefault="00021974" w:rsidP="0002197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Parceiro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</w:t>
            </w:r>
          </w:p>
        </w:tc>
        <w:tc>
          <w:tcPr>
            <w:tcW w:w="4253" w:type="dxa"/>
            <w:vAlign w:val="center"/>
          </w:tcPr>
          <w:p w14:paraId="6EB28709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Prever cláusula de reequilíbrio do contrato</w:t>
            </w:r>
          </w:p>
        </w:tc>
      </w:tr>
      <w:tr w:rsidR="0018100E" w:rsidRPr="001B55EB" w14:paraId="233FAC30" w14:textId="77777777" w:rsidTr="0018100E">
        <w:trPr>
          <w:cantSplit/>
        </w:trPr>
        <w:tc>
          <w:tcPr>
            <w:tcW w:w="3261" w:type="dxa"/>
            <w:vAlign w:val="center"/>
          </w:tcPr>
          <w:p w14:paraId="7CD61C27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Receitas acessórias</w:t>
            </w:r>
          </w:p>
        </w:tc>
        <w:tc>
          <w:tcPr>
            <w:tcW w:w="1559" w:type="dxa"/>
            <w:vAlign w:val="center"/>
          </w:tcPr>
          <w:p w14:paraId="3D02FEE7" w14:textId="4CAC243E" w:rsidR="00021974" w:rsidRPr="002B1A3E" w:rsidRDefault="000A28B4" w:rsidP="0002197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52B02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36F9ABC6" w14:textId="02F73811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Prever Cláusula com definição do critério </w:t>
            </w:r>
            <w:r w:rsidR="000A28B4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aprovação e</w:t>
            </w:r>
            <w:r w:rsidR="000A28B4"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compartilhamento</w:t>
            </w:r>
          </w:p>
        </w:tc>
      </w:tr>
      <w:tr w:rsidR="0018100E" w:rsidRPr="001B55EB" w14:paraId="05E86024" w14:textId="77777777" w:rsidTr="0018100E">
        <w:trPr>
          <w:cantSplit/>
        </w:trPr>
        <w:tc>
          <w:tcPr>
            <w:tcW w:w="3261" w:type="dxa"/>
            <w:vAlign w:val="center"/>
          </w:tcPr>
          <w:p w14:paraId="5CBD7E6F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Alteração das normas técnicas aplicáveis aos serviços que são objeto deste CONTRATO e que onerem a CONCESSIONÁRIA.</w:t>
            </w:r>
          </w:p>
        </w:tc>
        <w:tc>
          <w:tcPr>
            <w:tcW w:w="1559" w:type="dxa"/>
            <w:vAlign w:val="center"/>
          </w:tcPr>
          <w:p w14:paraId="6CA84FB9" w14:textId="77777777" w:rsidR="00021974" w:rsidRPr="002B1A3E" w:rsidRDefault="00021974" w:rsidP="0002197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1A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10075F86" w14:textId="77777777" w:rsidR="00021974" w:rsidRPr="004F6C4F" w:rsidRDefault="00021974" w:rsidP="0002197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C4F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Prever cláusula de reequilíbrio do contrato</w:t>
            </w:r>
          </w:p>
        </w:tc>
      </w:tr>
      <w:tr w:rsidR="0018100E" w:rsidRPr="001B55EB" w14:paraId="622251AC" w14:textId="77777777" w:rsidTr="0018100E">
        <w:trPr>
          <w:cantSplit/>
        </w:trPr>
        <w:tc>
          <w:tcPr>
            <w:tcW w:w="3261" w:type="dxa"/>
            <w:vAlign w:val="center"/>
          </w:tcPr>
          <w:p w14:paraId="3EBCEAFE" w14:textId="404546F6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Licenciamento e autorizações: atraso em liberação de licenças e autorizações a serem emitidas pela CELESC ao Parceiro Privado, exceto nos casos em que a Concessionária houver dado causa a tal decisão.</w:t>
            </w:r>
          </w:p>
        </w:tc>
        <w:tc>
          <w:tcPr>
            <w:tcW w:w="1559" w:type="dxa"/>
            <w:vAlign w:val="center"/>
          </w:tcPr>
          <w:p w14:paraId="708FE8AA" w14:textId="3CC012A0" w:rsidR="000A28B4" w:rsidRPr="00330378" w:rsidRDefault="000A28B4" w:rsidP="000A28B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  <w:vAlign w:val="center"/>
          </w:tcPr>
          <w:p w14:paraId="5BDDAC28" w14:textId="2F975400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Prever reequilíbrio econômico-financeiro do contrato; e, a revisão dos prazos e cronogramas contratuais.</w:t>
            </w:r>
          </w:p>
        </w:tc>
      </w:tr>
      <w:tr w:rsidR="0018100E" w:rsidRPr="001B55EB" w14:paraId="1D697C2F" w14:textId="77777777" w:rsidTr="0018100E">
        <w:trPr>
          <w:cantSplit/>
        </w:trPr>
        <w:tc>
          <w:tcPr>
            <w:tcW w:w="3261" w:type="dxa"/>
            <w:vAlign w:val="center"/>
          </w:tcPr>
          <w:p w14:paraId="7580655E" w14:textId="210F59E0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Licenciamento e autorizações: atraso em liberação de licenças e autorizações a serem emitidas pela CELESC ao Parceiro Privado, nos casos em que a Concessionária houver dado causa a tal decisão.</w:t>
            </w:r>
          </w:p>
        </w:tc>
        <w:tc>
          <w:tcPr>
            <w:tcW w:w="1559" w:type="dxa"/>
            <w:vAlign w:val="center"/>
          </w:tcPr>
          <w:p w14:paraId="59BDBCBF" w14:textId="64F7B3D9" w:rsidR="000A28B4" w:rsidRDefault="000A28B4" w:rsidP="000A28B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0DBB84FF" w14:textId="77777777" w:rsidR="000A28B4" w:rsidRPr="004E78D5" w:rsidRDefault="000A28B4" w:rsidP="000A28B4">
            <w:pPr>
              <w:pStyle w:val="ListParagraph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 xml:space="preserve">Prever penalidades e revisão dos prazos e cronogramas contratuais </w:t>
            </w:r>
          </w:p>
          <w:p w14:paraId="5EFEDBB4" w14:textId="6DE9D318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00E" w:rsidRPr="001B55EB" w14:paraId="303593A7" w14:textId="77777777" w:rsidTr="0018100E">
        <w:trPr>
          <w:cantSplit/>
        </w:trPr>
        <w:tc>
          <w:tcPr>
            <w:tcW w:w="3261" w:type="dxa"/>
            <w:vAlign w:val="center"/>
          </w:tcPr>
          <w:p w14:paraId="59A416D7" w14:textId="17C0AB5A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Interferências nas unidades de iluminação pública com as demais concessionárias de serviços públicos que compartilhem dos postes ou em razão da presença de arborização.</w:t>
            </w:r>
          </w:p>
        </w:tc>
        <w:tc>
          <w:tcPr>
            <w:tcW w:w="1559" w:type="dxa"/>
            <w:vAlign w:val="center"/>
          </w:tcPr>
          <w:p w14:paraId="1A54D229" w14:textId="52868246" w:rsidR="000A28B4" w:rsidRPr="00330378" w:rsidRDefault="000A28B4" w:rsidP="000A28B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  <w:vAlign w:val="center"/>
          </w:tcPr>
          <w:p w14:paraId="1A59B88A" w14:textId="77777777" w:rsidR="000A28B4" w:rsidRPr="004E78D5" w:rsidRDefault="000A28B4" w:rsidP="000A28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(i) Avaliação dos indicadores de qualidade dos serviços</w:t>
            </w:r>
          </w:p>
          <w:p w14:paraId="7F0943F2" w14:textId="77777777" w:rsidR="000A28B4" w:rsidRPr="004E78D5" w:rsidRDefault="000A28B4" w:rsidP="000A28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(ii) Prever medidas saneadoras</w:t>
            </w:r>
          </w:p>
          <w:p w14:paraId="430F1FF9" w14:textId="0D40941F" w:rsidR="000A28B4" w:rsidRPr="004F6C4F" w:rsidRDefault="000A28B4" w:rsidP="000A28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(iii) Garantir estado de funcionamento, conservação e segurança, dos bens necessários à prestação dos Serviços que integram a Concessão, durante a vigência do Contrato.</w:t>
            </w:r>
          </w:p>
        </w:tc>
      </w:tr>
      <w:tr w:rsidR="0018100E" w:rsidRPr="004E78D5" w14:paraId="65B2952E" w14:textId="77777777" w:rsidTr="0018100E">
        <w:tc>
          <w:tcPr>
            <w:tcW w:w="3261" w:type="dxa"/>
          </w:tcPr>
          <w:p w14:paraId="19DDE6AD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Erro ou omissão nos estudos, documentos e diretrizes da licitação e da proposta</w:t>
            </w:r>
          </w:p>
        </w:tc>
        <w:tc>
          <w:tcPr>
            <w:tcW w:w="1559" w:type="dxa"/>
          </w:tcPr>
          <w:p w14:paraId="70E72D0C" w14:textId="77777777" w:rsidR="000A28B4" w:rsidRPr="004E78D5" w:rsidRDefault="000A28B4" w:rsidP="00AD50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</w:tcPr>
          <w:p w14:paraId="6FB81A05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Deixar clara a responsabilidade do licitante quanto a avaliação das informações disponibilizadas e conteúdo da proposta.</w:t>
            </w:r>
          </w:p>
        </w:tc>
      </w:tr>
      <w:tr w:rsidR="0018100E" w:rsidRPr="004E78D5" w14:paraId="466BEDF2" w14:textId="77777777" w:rsidTr="0018100E">
        <w:tc>
          <w:tcPr>
            <w:tcW w:w="3261" w:type="dxa"/>
          </w:tcPr>
          <w:p w14:paraId="013C87B9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Erro ou omissão no cadastro de pontos de iluminação pública</w:t>
            </w:r>
          </w:p>
        </w:tc>
        <w:tc>
          <w:tcPr>
            <w:tcW w:w="1559" w:type="dxa"/>
          </w:tcPr>
          <w:p w14:paraId="0A2F81F4" w14:textId="77777777" w:rsidR="000A28B4" w:rsidRPr="004E78D5" w:rsidRDefault="000A28B4" w:rsidP="00AD50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</w:tcPr>
          <w:p w14:paraId="5B991487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 xml:space="preserve">O Cadastro poderá sofrer variação para maior ou menor e será responsabilidade e risco da Concessionária variações de até 2% (dois por </w:t>
            </w:r>
            <w:r w:rsidRPr="004E78D5">
              <w:rPr>
                <w:rFonts w:ascii="Arial" w:hAnsi="Arial" w:cs="Arial"/>
                <w:sz w:val="18"/>
                <w:szCs w:val="18"/>
              </w:rPr>
              <w:lastRenderedPageBreak/>
              <w:t>cento) para mais ou menos. Variações maiores demandarão reequilíbrio do contrato</w:t>
            </w:r>
          </w:p>
        </w:tc>
      </w:tr>
      <w:tr w:rsidR="0018100E" w:rsidRPr="004E78D5" w14:paraId="4D864521" w14:textId="77777777" w:rsidTr="0018100E">
        <w:tc>
          <w:tcPr>
            <w:tcW w:w="3261" w:type="dxa"/>
          </w:tcPr>
          <w:p w14:paraId="3D6871E9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lastRenderedPageBreak/>
              <w:t>Custos e trâmites necessários para promover desapropriação, servidões e limitações administrativas,</w:t>
            </w:r>
          </w:p>
        </w:tc>
        <w:tc>
          <w:tcPr>
            <w:tcW w:w="1559" w:type="dxa"/>
          </w:tcPr>
          <w:p w14:paraId="6AE6BD67" w14:textId="77777777" w:rsidR="000A28B4" w:rsidRPr="004E78D5" w:rsidRDefault="000A28B4" w:rsidP="00AD50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</w:tcPr>
          <w:p w14:paraId="30FCF661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Não se estima, a princípio, necessidade de desapropriações. Na eventualidade de ocorrer, o Concedente deve assumir a responsabilidade de executá-las com apoio da Concessionária.,</w:t>
            </w:r>
          </w:p>
        </w:tc>
      </w:tr>
      <w:tr w:rsidR="0018100E" w:rsidRPr="004E78D5" w14:paraId="3EECEC3B" w14:textId="77777777" w:rsidTr="0018100E">
        <w:tc>
          <w:tcPr>
            <w:tcW w:w="3261" w:type="dxa"/>
          </w:tcPr>
          <w:p w14:paraId="45ADFC6C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Não alcance das metas de redução de consumo,</w:t>
            </w:r>
          </w:p>
        </w:tc>
        <w:tc>
          <w:tcPr>
            <w:tcW w:w="1559" w:type="dxa"/>
          </w:tcPr>
          <w:p w14:paraId="3EB995F9" w14:textId="77777777" w:rsidR="000A28B4" w:rsidRPr="004E78D5" w:rsidRDefault="000A28B4" w:rsidP="00AD50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Privado</w:t>
            </w:r>
          </w:p>
        </w:tc>
        <w:tc>
          <w:tcPr>
            <w:tcW w:w="4253" w:type="dxa"/>
          </w:tcPr>
          <w:p w14:paraId="70BB4A05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(i) Avaliação dos indicadores de desempenho;</w:t>
            </w:r>
          </w:p>
          <w:p w14:paraId="5C13967A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(ii) Aplicação de Penalidades;</w:t>
            </w:r>
          </w:p>
          <w:p w14:paraId="7680BF7A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(iii) Execução da Garantia de Execução</w:t>
            </w:r>
          </w:p>
        </w:tc>
      </w:tr>
      <w:tr w:rsidR="0018100E" w:rsidRPr="004E78D5" w14:paraId="6748BB84" w14:textId="77777777" w:rsidTr="0018100E">
        <w:tc>
          <w:tcPr>
            <w:tcW w:w="3261" w:type="dxa"/>
          </w:tcPr>
          <w:p w14:paraId="31A0785D" w14:textId="77777777" w:rsidR="000A28B4" w:rsidRPr="004E78D5" w:rsidRDefault="000A28B4" w:rsidP="00AD50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Não atingimento do desempenho por parte da Concessionária nos casos de interrupção por falhas no sistema de fornecimento de energia,</w:t>
            </w:r>
          </w:p>
        </w:tc>
        <w:tc>
          <w:tcPr>
            <w:tcW w:w="1559" w:type="dxa"/>
          </w:tcPr>
          <w:p w14:paraId="74365928" w14:textId="77777777" w:rsidR="000A28B4" w:rsidRPr="004E78D5" w:rsidRDefault="000A28B4" w:rsidP="00AD50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8D5">
              <w:rPr>
                <w:rFonts w:ascii="Arial" w:hAnsi="Arial" w:cs="Arial"/>
                <w:b/>
                <w:sz w:val="18"/>
                <w:szCs w:val="18"/>
              </w:rPr>
              <w:t>Parceiro Público</w:t>
            </w:r>
          </w:p>
        </w:tc>
        <w:tc>
          <w:tcPr>
            <w:tcW w:w="4253" w:type="dxa"/>
          </w:tcPr>
          <w:p w14:paraId="64073769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(i) desconsidera avaliação das metas afins;</w:t>
            </w:r>
          </w:p>
          <w:p w14:paraId="03E595EF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8D5">
              <w:rPr>
                <w:rFonts w:ascii="Arial" w:hAnsi="Arial" w:cs="Arial"/>
                <w:sz w:val="18"/>
                <w:szCs w:val="18"/>
              </w:rPr>
              <w:t>(ii)  suspensão de penalidades</w:t>
            </w:r>
          </w:p>
          <w:p w14:paraId="19B59CB0" w14:textId="77777777" w:rsidR="000A28B4" w:rsidRPr="004E78D5" w:rsidRDefault="000A28B4" w:rsidP="00AD5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2A6FF6" w14:textId="77777777" w:rsidR="00E30AA5" w:rsidRPr="009B3324" w:rsidRDefault="00E30AA5" w:rsidP="00E30AA5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67A45333" w14:textId="249B9A97" w:rsidR="0017151E" w:rsidRPr="00E30AA5" w:rsidRDefault="0017151E" w:rsidP="00E30AA5"/>
    <w:sectPr w:rsidR="0017151E" w:rsidRPr="00E30AA5" w:rsidSect="00464A79">
      <w:headerReference w:type="default" r:id="rId8"/>
      <w:footerReference w:type="default" r:id="rId9"/>
      <w:pgSz w:w="11906" w:h="16838"/>
      <w:pgMar w:top="1418" w:right="1134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A1DD" w14:textId="77777777" w:rsidR="00E67104" w:rsidRDefault="00E67104" w:rsidP="00412E68">
      <w:pPr>
        <w:spacing w:after="0" w:line="240" w:lineRule="auto"/>
      </w:pPr>
      <w:r>
        <w:separator/>
      </w:r>
    </w:p>
  </w:endnote>
  <w:endnote w:type="continuationSeparator" w:id="0">
    <w:p w14:paraId="5357713C" w14:textId="77777777" w:rsidR="00E67104" w:rsidRDefault="00E67104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4478" w14:textId="77777777" w:rsidR="005B4D80" w:rsidRDefault="005B4D80" w:rsidP="005B4D80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A05A28">
      <w:rPr>
        <w:rFonts w:ascii="Arial" w:hAnsi="Arial" w:cs="Tahoma"/>
        <w:b/>
        <w:color w:val="808080"/>
        <w:sz w:val="14"/>
        <w:szCs w:val="16"/>
      </w:rPr>
      <w:t>Secretaria Municipal de</w:t>
    </w:r>
    <w:r>
      <w:rPr>
        <w:rFonts w:ascii="Arial" w:hAnsi="Arial" w:cs="Tahoma"/>
        <w:b/>
        <w:color w:val="808080"/>
        <w:sz w:val="14"/>
        <w:szCs w:val="16"/>
      </w:rPr>
      <w:t xml:space="preserve"> Administração</w:t>
    </w:r>
  </w:p>
  <w:p w14:paraId="5FA96338" w14:textId="77777777" w:rsidR="005B4D80" w:rsidRPr="00050218" w:rsidRDefault="005B4D80" w:rsidP="005B4D80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 xml:space="preserve">Rua </w:t>
    </w:r>
    <w:r>
      <w:rPr>
        <w:rFonts w:ascii="Arial" w:hAnsi="Arial" w:cs="Tahoma"/>
        <w:b/>
        <w:color w:val="808080"/>
        <w:sz w:val="14"/>
        <w:szCs w:val="16"/>
      </w:rPr>
      <w:t>Virgulino de Queiroz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20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0 </w:t>
    </w:r>
  </w:p>
  <w:p w14:paraId="00503AF5" w14:textId="77777777" w:rsidR="005B4D80" w:rsidRPr="00050218" w:rsidRDefault="005B4D80" w:rsidP="005B4D80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>88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>-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Araranguá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Santa Catarina</w:t>
    </w:r>
  </w:p>
  <w:p w14:paraId="20F273CA" w14:textId="77777777" w:rsidR="005B4D80" w:rsidRPr="00050218" w:rsidRDefault="005B4D80" w:rsidP="005B4D80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>
      <w:rPr>
        <w:rFonts w:ascii="Arial" w:hAnsi="Arial" w:cs="Tahoma"/>
        <w:b/>
        <w:color w:val="808080"/>
        <w:sz w:val="14"/>
        <w:szCs w:val="16"/>
      </w:rPr>
      <w:t>Fone: 48 3521-0900</w:t>
    </w:r>
  </w:p>
  <w:p w14:paraId="1050DB5D" w14:textId="77777777" w:rsidR="005B4D80" w:rsidRDefault="005B4D80" w:rsidP="005B4D80">
    <w:pPr>
      <w:pStyle w:val="Footer"/>
      <w:ind w:right="-285"/>
      <w:jc w:val="right"/>
    </w:pPr>
    <w:r w:rsidRPr="00050218">
      <w:rPr>
        <w:rFonts w:ascii="Arial" w:hAnsi="Arial" w:cs="Tahoma"/>
        <w:b/>
        <w:color w:val="808080"/>
        <w:sz w:val="14"/>
        <w:szCs w:val="16"/>
      </w:rPr>
      <w:t>www.</w:t>
    </w:r>
    <w:r>
      <w:rPr>
        <w:rFonts w:ascii="Arial" w:hAnsi="Arial" w:cs="Tahoma"/>
        <w:b/>
        <w:color w:val="808080"/>
        <w:sz w:val="14"/>
        <w:szCs w:val="16"/>
      </w:rPr>
      <w:t>ararangua.</w:t>
    </w:r>
    <w:r w:rsidRPr="00050218">
      <w:rPr>
        <w:rFonts w:ascii="Arial" w:hAnsi="Arial" w:cs="Tahoma"/>
        <w:b/>
        <w:color w:val="808080"/>
        <w:sz w:val="14"/>
        <w:szCs w:val="16"/>
      </w:rPr>
      <w:t>sc.gov.br</w:t>
    </w:r>
  </w:p>
  <w:p w14:paraId="08FC2B85" w14:textId="77777777" w:rsidR="005B4D80" w:rsidRPr="00A222FF" w:rsidRDefault="005B4D80" w:rsidP="005B4D80">
    <w:pPr>
      <w:pStyle w:val="Footer"/>
    </w:pPr>
  </w:p>
  <w:p w14:paraId="4DB18A8F" w14:textId="7F30B1CF" w:rsidR="00412E68" w:rsidRPr="005B4D80" w:rsidRDefault="00412E68" w:rsidP="005B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1E74" w14:textId="77777777" w:rsidR="00E67104" w:rsidRDefault="00E67104" w:rsidP="00412E68">
      <w:pPr>
        <w:spacing w:after="0" w:line="240" w:lineRule="auto"/>
      </w:pPr>
      <w:r>
        <w:separator/>
      </w:r>
    </w:p>
  </w:footnote>
  <w:footnote w:type="continuationSeparator" w:id="0">
    <w:p w14:paraId="32A39DD2" w14:textId="77777777" w:rsidR="00E67104" w:rsidRDefault="00E67104" w:rsidP="004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27C" w14:textId="247C088F" w:rsidR="00412E68" w:rsidRDefault="005B4D80" w:rsidP="00412E68">
    <w:pPr>
      <w:pStyle w:val="Header"/>
      <w:jc w:val="right"/>
    </w:pPr>
    <w:r>
      <w:rPr>
        <w:noProof/>
      </w:rPr>
      <w:drawing>
        <wp:inline distT="0" distB="0" distL="0" distR="0" wp14:anchorId="45611B08" wp14:editId="3956EDE1">
          <wp:extent cx="857250" cy="844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88C8" w14:textId="77777777" w:rsidR="00412E68" w:rsidRDefault="0041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66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95"/>
    <w:multiLevelType w:val="hybridMultilevel"/>
    <w:tmpl w:val="00007DAA"/>
    <w:lvl w:ilvl="0" w:tplc="00004F5B">
      <w:start w:val="10"/>
      <w:numFmt w:val="decimal"/>
      <w:lvlText w:val="30.%1."/>
      <w:lvlJc w:val="left"/>
      <w:pPr>
        <w:tabs>
          <w:tab w:val="num" w:pos="720"/>
        </w:tabs>
        <w:ind w:left="720" w:hanging="360"/>
      </w:pPr>
    </w:lvl>
    <w:lvl w:ilvl="1" w:tplc="0000256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96F"/>
    <w:multiLevelType w:val="hybridMultilevel"/>
    <w:tmpl w:val="000058D5"/>
    <w:lvl w:ilvl="0" w:tplc="00004EC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BFC"/>
    <w:multiLevelType w:val="hybridMultilevel"/>
    <w:tmpl w:val="000013F5"/>
    <w:lvl w:ilvl="0" w:tplc="00001ECA">
      <w:start w:val="1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000042B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4"/>
    <w:multiLevelType w:val="hybridMultilevel"/>
    <w:tmpl w:val="00005718"/>
    <w:lvl w:ilvl="0" w:tplc="0000749F">
      <w:start w:val="1"/>
      <w:numFmt w:val="decimal"/>
      <w:lvlText w:val="33.%1."/>
      <w:lvlJc w:val="left"/>
      <w:pPr>
        <w:tabs>
          <w:tab w:val="num" w:pos="720"/>
        </w:tabs>
        <w:ind w:left="720" w:hanging="360"/>
      </w:pPr>
    </w:lvl>
    <w:lvl w:ilvl="1" w:tplc="00002F15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7D3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8AE2FC4"/>
    <w:lvl w:ilvl="0" w:tplc="9F82A5B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D0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87C"/>
    <w:multiLevelType w:val="hybridMultilevel"/>
    <w:tmpl w:val="0000579C"/>
    <w:lvl w:ilvl="0" w:tplc="000032C1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A27"/>
    <w:multiLevelType w:val="hybridMultilevel"/>
    <w:tmpl w:val="00004D59"/>
    <w:lvl w:ilvl="0" w:tplc="0000594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42"/>
    <w:multiLevelType w:val="hybridMultilevel"/>
    <w:tmpl w:val="00000E00"/>
    <w:lvl w:ilvl="0" w:tplc="000074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FE">
      <w:start w:val="3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753"/>
    <w:multiLevelType w:val="hybridMultilevel"/>
    <w:tmpl w:val="000060BF"/>
    <w:lvl w:ilvl="0" w:tplc="00005C67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CD6">
      <w:numFmt w:val="decimal"/>
      <w:lvlText w:val="12.1.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940"/>
    <w:multiLevelType w:val="hybridMultilevel"/>
    <w:tmpl w:val="00001243"/>
    <w:lvl w:ilvl="0" w:tplc="0000328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96"/>
    <w:multiLevelType w:val="hybridMultilevel"/>
    <w:tmpl w:val="00006512"/>
    <w:lvl w:ilvl="0" w:tplc="00005F34">
      <w:start w:val="1"/>
      <w:numFmt w:val="decimal"/>
      <w:lvlText w:val="28.%1."/>
      <w:lvlJc w:val="left"/>
      <w:pPr>
        <w:tabs>
          <w:tab w:val="num" w:pos="720"/>
        </w:tabs>
        <w:ind w:left="720" w:hanging="360"/>
      </w:pPr>
    </w:lvl>
    <w:lvl w:ilvl="1" w:tplc="00004EB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2AE"/>
    <w:multiLevelType w:val="multilevel"/>
    <w:tmpl w:val="5D9CA47A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00078B4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A6"/>
    <w:multiLevelType w:val="hybridMultilevel"/>
    <w:tmpl w:val="000006D8"/>
    <w:lvl w:ilvl="0" w:tplc="0000480B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796582"/>
    <w:multiLevelType w:val="hybridMultilevel"/>
    <w:tmpl w:val="160AB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EA47EF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1940652A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1EAE2A76"/>
    <w:multiLevelType w:val="hybridMultilevel"/>
    <w:tmpl w:val="C52E22AC"/>
    <w:lvl w:ilvl="0" w:tplc="B1AEEBE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FCA465A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B6A6F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3B612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9580B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D874CF1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98E32A5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3521D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8BA"/>
    <w:multiLevelType w:val="hybridMultilevel"/>
    <w:tmpl w:val="85EAC16E"/>
    <w:lvl w:ilvl="0" w:tplc="D8885EE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4861BA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A2905"/>
    <w:multiLevelType w:val="hybridMultilevel"/>
    <w:tmpl w:val="B1E04BEA"/>
    <w:lvl w:ilvl="0" w:tplc="FD80AC90">
      <w:start w:val="1"/>
      <w:numFmt w:val="lowerRoman"/>
      <w:lvlText w:val="(%1)"/>
      <w:lvlJc w:val="left"/>
      <w:pPr>
        <w:ind w:left="18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1" w15:restartNumberingAfterBreak="0">
    <w:nsid w:val="48372F1E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A5361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E8C05D3"/>
    <w:multiLevelType w:val="multilevel"/>
    <w:tmpl w:val="1F0A2BD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12B27F6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01D84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0699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144C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4347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0DC8"/>
    <w:multiLevelType w:val="hybridMultilevel"/>
    <w:tmpl w:val="B89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355C8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C24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BB55C2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2904F5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7FF2"/>
    <w:multiLevelType w:val="hybridMultilevel"/>
    <w:tmpl w:val="8AAA390C"/>
    <w:lvl w:ilvl="0" w:tplc="000042BE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95A9F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10526">
    <w:abstractNumId w:val="14"/>
  </w:num>
  <w:num w:numId="2" w16cid:durableId="1828669896">
    <w:abstractNumId w:val="6"/>
  </w:num>
  <w:num w:numId="3" w16cid:durableId="229657945">
    <w:abstractNumId w:val="12"/>
  </w:num>
  <w:num w:numId="4" w16cid:durableId="1504054799">
    <w:abstractNumId w:val="10"/>
  </w:num>
  <w:num w:numId="5" w16cid:durableId="270548711">
    <w:abstractNumId w:val="0"/>
  </w:num>
  <w:num w:numId="6" w16cid:durableId="1633825808">
    <w:abstractNumId w:val="13"/>
  </w:num>
  <w:num w:numId="7" w16cid:durableId="1611887582">
    <w:abstractNumId w:val="1"/>
  </w:num>
  <w:num w:numId="8" w16cid:durableId="1520924215">
    <w:abstractNumId w:val="3"/>
  </w:num>
  <w:num w:numId="9" w16cid:durableId="1699307080">
    <w:abstractNumId w:val="5"/>
  </w:num>
  <w:num w:numId="10" w16cid:durableId="2044553388">
    <w:abstractNumId w:val="15"/>
  </w:num>
  <w:num w:numId="11" w16cid:durableId="1567299711">
    <w:abstractNumId w:val="8"/>
  </w:num>
  <w:num w:numId="12" w16cid:durableId="1046025128">
    <w:abstractNumId w:val="7"/>
  </w:num>
  <w:num w:numId="13" w16cid:durableId="791092994">
    <w:abstractNumId w:val="4"/>
  </w:num>
  <w:num w:numId="14" w16cid:durableId="391733958">
    <w:abstractNumId w:val="9"/>
  </w:num>
  <w:num w:numId="15" w16cid:durableId="154760724">
    <w:abstractNumId w:val="11"/>
  </w:num>
  <w:num w:numId="16" w16cid:durableId="1156989874">
    <w:abstractNumId w:val="2"/>
  </w:num>
  <w:num w:numId="17" w16cid:durableId="1054819426">
    <w:abstractNumId w:val="16"/>
  </w:num>
  <w:num w:numId="18" w16cid:durableId="1076056269">
    <w:abstractNumId w:val="18"/>
  </w:num>
  <w:num w:numId="19" w16cid:durableId="557403117">
    <w:abstractNumId w:val="30"/>
  </w:num>
  <w:num w:numId="20" w16cid:durableId="2017033574">
    <w:abstractNumId w:val="24"/>
  </w:num>
  <w:num w:numId="21" w16cid:durableId="547958636">
    <w:abstractNumId w:val="32"/>
  </w:num>
  <w:num w:numId="22" w16cid:durableId="515778137">
    <w:abstractNumId w:val="33"/>
  </w:num>
  <w:num w:numId="23" w16cid:durableId="647705670">
    <w:abstractNumId w:val="41"/>
  </w:num>
  <w:num w:numId="24" w16cid:durableId="981158883">
    <w:abstractNumId w:val="40"/>
  </w:num>
  <w:num w:numId="25" w16cid:durableId="1793403468">
    <w:abstractNumId w:val="23"/>
  </w:num>
  <w:num w:numId="26" w16cid:durableId="1236352120">
    <w:abstractNumId w:val="45"/>
  </w:num>
  <w:num w:numId="27" w16cid:durableId="487868062">
    <w:abstractNumId w:val="36"/>
  </w:num>
  <w:num w:numId="28" w16cid:durableId="160778255">
    <w:abstractNumId w:val="39"/>
  </w:num>
  <w:num w:numId="29" w16cid:durableId="633411610">
    <w:abstractNumId w:val="21"/>
  </w:num>
  <w:num w:numId="30" w16cid:durableId="28921056">
    <w:abstractNumId w:val="38"/>
  </w:num>
  <w:num w:numId="31" w16cid:durableId="611477652">
    <w:abstractNumId w:val="43"/>
  </w:num>
  <w:num w:numId="32" w16cid:durableId="2015494352">
    <w:abstractNumId w:val="27"/>
  </w:num>
  <w:num w:numId="33" w16cid:durableId="963727605">
    <w:abstractNumId w:val="17"/>
  </w:num>
  <w:num w:numId="34" w16cid:durableId="2108959612">
    <w:abstractNumId w:val="19"/>
  </w:num>
  <w:num w:numId="35" w16cid:durableId="162743281">
    <w:abstractNumId w:val="44"/>
  </w:num>
  <w:num w:numId="36" w16cid:durableId="219556938">
    <w:abstractNumId w:val="22"/>
  </w:num>
  <w:num w:numId="37" w16cid:durableId="1442720694">
    <w:abstractNumId w:val="25"/>
  </w:num>
  <w:num w:numId="38" w16cid:durableId="88431227">
    <w:abstractNumId w:val="28"/>
  </w:num>
  <w:num w:numId="39" w16cid:durableId="1794327657">
    <w:abstractNumId w:val="20"/>
  </w:num>
  <w:num w:numId="40" w16cid:durableId="860705222">
    <w:abstractNumId w:val="35"/>
  </w:num>
  <w:num w:numId="41" w16cid:durableId="269362740">
    <w:abstractNumId w:val="26"/>
  </w:num>
  <w:num w:numId="42" w16cid:durableId="760567963">
    <w:abstractNumId w:val="37"/>
  </w:num>
  <w:num w:numId="43" w16cid:durableId="75446748">
    <w:abstractNumId w:val="31"/>
  </w:num>
  <w:num w:numId="44" w16cid:durableId="1070814380">
    <w:abstractNumId w:val="29"/>
  </w:num>
  <w:num w:numId="45" w16cid:durableId="967199908">
    <w:abstractNumId w:val="34"/>
  </w:num>
  <w:num w:numId="46" w16cid:durableId="1779908732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8"/>
    <w:rsid w:val="00021974"/>
    <w:rsid w:val="00085746"/>
    <w:rsid w:val="000A28B4"/>
    <w:rsid w:val="000B3F8C"/>
    <w:rsid w:val="000D69FE"/>
    <w:rsid w:val="0012401D"/>
    <w:rsid w:val="0014659E"/>
    <w:rsid w:val="0017151E"/>
    <w:rsid w:val="0018100E"/>
    <w:rsid w:val="00310DAA"/>
    <w:rsid w:val="003566EC"/>
    <w:rsid w:val="00381B2E"/>
    <w:rsid w:val="003E479E"/>
    <w:rsid w:val="00403EBC"/>
    <w:rsid w:val="00412E68"/>
    <w:rsid w:val="00444AC6"/>
    <w:rsid w:val="00462467"/>
    <w:rsid w:val="00464A79"/>
    <w:rsid w:val="00474FEC"/>
    <w:rsid w:val="0048180F"/>
    <w:rsid w:val="004C43E8"/>
    <w:rsid w:val="00571628"/>
    <w:rsid w:val="0058274C"/>
    <w:rsid w:val="005A36AD"/>
    <w:rsid w:val="005A3773"/>
    <w:rsid w:val="005A6A3E"/>
    <w:rsid w:val="005B4D80"/>
    <w:rsid w:val="005B6CEE"/>
    <w:rsid w:val="0061569E"/>
    <w:rsid w:val="00621189"/>
    <w:rsid w:val="006325EF"/>
    <w:rsid w:val="00641856"/>
    <w:rsid w:val="0065021E"/>
    <w:rsid w:val="006746DB"/>
    <w:rsid w:val="006B36B4"/>
    <w:rsid w:val="006C5391"/>
    <w:rsid w:val="006F13A3"/>
    <w:rsid w:val="006F156C"/>
    <w:rsid w:val="00716275"/>
    <w:rsid w:val="00753512"/>
    <w:rsid w:val="00820118"/>
    <w:rsid w:val="00836137"/>
    <w:rsid w:val="0087063F"/>
    <w:rsid w:val="0088423D"/>
    <w:rsid w:val="008F20B5"/>
    <w:rsid w:val="00951B58"/>
    <w:rsid w:val="00A07075"/>
    <w:rsid w:val="00A1504C"/>
    <w:rsid w:val="00A20244"/>
    <w:rsid w:val="00A24DCF"/>
    <w:rsid w:val="00A45498"/>
    <w:rsid w:val="00A461C9"/>
    <w:rsid w:val="00B14577"/>
    <w:rsid w:val="00B441B9"/>
    <w:rsid w:val="00B90586"/>
    <w:rsid w:val="00BD2197"/>
    <w:rsid w:val="00C136C9"/>
    <w:rsid w:val="00C278A0"/>
    <w:rsid w:val="00C35469"/>
    <w:rsid w:val="00C40960"/>
    <w:rsid w:val="00C838D1"/>
    <w:rsid w:val="00CA3A9F"/>
    <w:rsid w:val="00CF620B"/>
    <w:rsid w:val="00D50E17"/>
    <w:rsid w:val="00D67044"/>
    <w:rsid w:val="00DD7C86"/>
    <w:rsid w:val="00DF52EB"/>
    <w:rsid w:val="00E11B56"/>
    <w:rsid w:val="00E30AA5"/>
    <w:rsid w:val="00E63161"/>
    <w:rsid w:val="00E67104"/>
    <w:rsid w:val="00EF3216"/>
    <w:rsid w:val="00F01E1B"/>
    <w:rsid w:val="00F15ACA"/>
    <w:rsid w:val="00F161EA"/>
    <w:rsid w:val="00F35AC4"/>
    <w:rsid w:val="00F50024"/>
    <w:rsid w:val="00F901EA"/>
    <w:rsid w:val="00F91A20"/>
    <w:rsid w:val="00FC3EF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7500F"/>
  <w15:chartTrackingRefBased/>
  <w15:docId w15:val="{9FC1384D-5BCE-4FB5-BB69-1903694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A79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t-B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4A79"/>
    <w:pPr>
      <w:widowControl w:val="0"/>
      <w:overflowPunct w:val="0"/>
      <w:autoSpaceDE w:val="0"/>
      <w:autoSpaceDN w:val="0"/>
      <w:adjustRightInd w:val="0"/>
      <w:ind w:left="0"/>
      <w:jc w:val="both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6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68"/>
  </w:style>
  <w:style w:type="paragraph" w:styleId="Footer">
    <w:name w:val="footer"/>
    <w:basedOn w:val="Normal"/>
    <w:link w:val="Foot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68"/>
  </w:style>
  <w:style w:type="paragraph" w:styleId="BalloonText">
    <w:name w:val="Balloon Text"/>
    <w:basedOn w:val="Normal"/>
    <w:link w:val="BalloonTextChar"/>
    <w:uiPriority w:val="99"/>
    <w:semiHidden/>
    <w:unhideWhenUsed/>
    <w:rsid w:val="00412E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2E68"/>
    <w:rPr>
      <w:rFonts w:ascii="Tahoma" w:hAnsi="Tahoma" w:cs="Tahoma"/>
      <w:sz w:val="16"/>
      <w:szCs w:val="16"/>
    </w:rPr>
  </w:style>
  <w:style w:type="paragraph" w:customStyle="1" w:styleId="Corpo">
    <w:name w:val="Corpo"/>
    <w:rsid w:val="0017151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paragraph" w:styleId="HTMLPreformatted">
    <w:name w:val="HTML Preformatted"/>
    <w:basedOn w:val="Normal"/>
    <w:link w:val="HTMLPreformattedChar"/>
    <w:rsid w:val="00A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pt-BR"/>
    </w:rPr>
  </w:style>
  <w:style w:type="character" w:customStyle="1" w:styleId="HTMLPreformattedChar">
    <w:name w:val="HTML Preformatted Char"/>
    <w:link w:val="HTMLPreformatted"/>
    <w:rsid w:val="00A20244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WW-Absatz-Standardschriftart1">
    <w:name w:val="WW-Absatz-Standardschriftart1"/>
    <w:rsid w:val="005B6CEE"/>
  </w:style>
  <w:style w:type="character" w:customStyle="1" w:styleId="Heading1Char">
    <w:name w:val="Heading 1 Char"/>
    <w:link w:val="Heading1"/>
    <w:uiPriority w:val="9"/>
    <w:rsid w:val="00464A7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64A79"/>
    <w:rPr>
      <w:rFonts w:eastAsia="Times New Roman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A7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464A7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A7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64A7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aliases w:val="Itemização,PPP 04"/>
    <w:basedOn w:val="Normal"/>
    <w:link w:val="ListParagraphChar"/>
    <w:uiPriority w:val="34"/>
    <w:qFormat/>
    <w:rsid w:val="00464A7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character" w:customStyle="1" w:styleId="ListParagraphChar">
    <w:name w:val="List Paragraph Char"/>
    <w:aliases w:val="Itemização Char,PPP 04 Char"/>
    <w:link w:val="ListParagraph"/>
    <w:uiPriority w:val="34"/>
    <w:rsid w:val="00464A7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BodyTextChar">
    <w:name w:val="Body Text Char"/>
    <w:link w:val="BodyText"/>
    <w:uiPriority w:val="1"/>
    <w:rsid w:val="00464A79"/>
    <w:rPr>
      <w:rFonts w:ascii="Times New Roman" w:eastAsia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64A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A79"/>
    <w:pPr>
      <w:tabs>
        <w:tab w:val="left" w:pos="1560"/>
        <w:tab w:val="right" w:leader="dot" w:pos="9490"/>
      </w:tabs>
      <w:spacing w:before="120" w:after="0" w:line="240" w:lineRule="auto"/>
    </w:pPr>
    <w:rPr>
      <w:rFonts w:eastAsia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464A7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4A79"/>
    <w:pPr>
      <w:spacing w:after="0" w:line="240" w:lineRule="auto"/>
      <w:ind w:left="220"/>
    </w:pPr>
    <w:rPr>
      <w:rFonts w:eastAsia="Times New Roman"/>
      <w:b/>
      <w:bC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464A79"/>
    <w:pPr>
      <w:spacing w:after="0" w:line="240" w:lineRule="auto"/>
      <w:ind w:left="440"/>
    </w:pPr>
    <w:rPr>
      <w:rFonts w:eastAsia="Times New Roman"/>
      <w:sz w:val="24"/>
      <w:szCs w:val="24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464A79"/>
    <w:pPr>
      <w:spacing w:after="0" w:line="240" w:lineRule="auto"/>
      <w:ind w:left="660"/>
    </w:pPr>
    <w:rPr>
      <w:rFonts w:eastAsia="Times New Roman"/>
      <w:sz w:val="20"/>
      <w:szCs w:val="20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464A79"/>
    <w:pPr>
      <w:spacing w:after="0" w:line="240" w:lineRule="auto"/>
      <w:ind w:left="880"/>
    </w:pPr>
    <w:rPr>
      <w:rFonts w:eastAsia="Times New Roman"/>
      <w:sz w:val="20"/>
      <w:szCs w:val="20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464A79"/>
    <w:pPr>
      <w:spacing w:after="0" w:line="240" w:lineRule="auto"/>
      <w:ind w:left="1100"/>
    </w:pPr>
    <w:rPr>
      <w:rFonts w:eastAsia="Times New Roman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464A79"/>
    <w:pPr>
      <w:spacing w:after="0" w:line="240" w:lineRule="auto"/>
      <w:ind w:left="1320"/>
    </w:pPr>
    <w:rPr>
      <w:rFonts w:eastAsia="Times New Roman"/>
      <w:sz w:val="20"/>
      <w:szCs w:val="20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464A79"/>
    <w:pPr>
      <w:spacing w:after="0" w:line="240" w:lineRule="auto"/>
      <w:ind w:left="1540"/>
    </w:pPr>
    <w:rPr>
      <w:rFonts w:eastAsia="Times New Roman"/>
      <w:sz w:val="20"/>
      <w:szCs w:val="20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464A79"/>
    <w:pPr>
      <w:spacing w:after="0" w:line="240" w:lineRule="auto"/>
      <w:ind w:left="1760"/>
    </w:pPr>
    <w:rPr>
      <w:rFonts w:eastAsia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64A7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4A7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itleChar">
    <w:name w:val="Title Char"/>
    <w:link w:val="Title"/>
    <w:uiPriority w:val="10"/>
    <w:rsid w:val="00464A79"/>
    <w:rPr>
      <w:rFonts w:eastAsia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64A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customStyle="1" w:styleId="fontstyle01">
    <w:name w:val="fontstyle01"/>
    <w:rsid w:val="0046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464A7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6D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6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6746DB"/>
  </w:style>
  <w:style w:type="paragraph" w:styleId="FootnoteText">
    <w:name w:val="footnote text"/>
    <w:basedOn w:val="Normal"/>
    <w:link w:val="FootnoteTextChar"/>
    <w:uiPriority w:val="99"/>
    <w:semiHidden/>
    <w:unhideWhenUsed/>
    <w:rsid w:val="006746D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6DB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2E03-8F27-4F7C-A359-6254E4A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11225</Characters>
  <Application>Microsoft Office Word</Application>
  <DocSecurity>0</DocSecurity>
  <Lines>510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Beznos</dc:creator>
  <cp:keywords/>
  <dc:description/>
  <cp:lastModifiedBy>Vera Beznos</cp:lastModifiedBy>
  <cp:revision>3</cp:revision>
  <cp:lastPrinted>2019-10-24T17:42:00Z</cp:lastPrinted>
  <dcterms:created xsi:type="dcterms:W3CDTF">2022-12-28T19:10:00Z</dcterms:created>
  <dcterms:modified xsi:type="dcterms:W3CDTF">2022-12-28T19:11:00Z</dcterms:modified>
  <cp:category/>
</cp:coreProperties>
</file>