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702C" w14:textId="77777777" w:rsidR="00CE44DC" w:rsidRPr="007F0B5F" w:rsidRDefault="00CE44DC" w:rsidP="00CE44DC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b/>
          <w:bCs/>
          <w:sz w:val="24"/>
          <w:szCs w:val="24"/>
          <w:lang w:eastAsia="pt-BR"/>
        </w:rPr>
        <w:t>CONCORRÊNCIA n. [**]</w:t>
      </w:r>
    </w:p>
    <w:p w14:paraId="7F290CD7" w14:textId="77777777" w:rsidR="00CE44DC" w:rsidRPr="007F0B5F" w:rsidRDefault="00CE44DC" w:rsidP="00CE44DC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</w:p>
    <w:p w14:paraId="64DE9189" w14:textId="77777777" w:rsidR="00CE44DC" w:rsidRPr="007F0B5F" w:rsidRDefault="00CE44DC" w:rsidP="00CE44DC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b/>
          <w:bCs/>
          <w:sz w:val="24"/>
          <w:szCs w:val="24"/>
          <w:lang w:eastAsia="pt-BR"/>
        </w:rPr>
        <w:t>ANEXO X</w:t>
      </w:r>
    </w:p>
    <w:p w14:paraId="4982114E" w14:textId="77777777" w:rsidR="00CE44DC" w:rsidRPr="007F0B5F" w:rsidRDefault="00CE44DC" w:rsidP="00CE44DC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b/>
          <w:bCs/>
          <w:sz w:val="24"/>
          <w:szCs w:val="24"/>
          <w:lang w:eastAsia="pt-BR"/>
        </w:rPr>
        <w:t>PLANO DE NEGÓCIOS REFERENCIAL</w:t>
      </w:r>
    </w:p>
    <w:p w14:paraId="1DDEC3B1" w14:textId="77777777" w:rsidR="00CE44DC" w:rsidRPr="007F0B5F" w:rsidRDefault="00CE44DC" w:rsidP="00CE44DC">
      <w:pPr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</w:p>
    <w:p w14:paraId="677840A1" w14:textId="77777777" w:rsidR="00EB6F98" w:rsidRPr="007F0B5F" w:rsidRDefault="00EB6F98" w:rsidP="00CE44DC">
      <w:pPr>
        <w:tabs>
          <w:tab w:val="left" w:pos="579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041E76B7" w14:textId="317C472D" w:rsidR="00CE44DC" w:rsidRPr="007F0B5F" w:rsidRDefault="00CE44DC" w:rsidP="00CE44DC">
      <w:pPr>
        <w:tabs>
          <w:tab w:val="left" w:pos="579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sz w:val="24"/>
          <w:szCs w:val="24"/>
          <w:lang w:eastAsia="pt-BR"/>
        </w:rPr>
        <w:t>Este Anexo apresenta o plano de negócio referencial desenvolvido para avaliação da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viabilidade de implantação do projeto através da modalidade de concessão à iniciativa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privada e para a definição do valor máximo da Contraprestação Pecuniária para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balizamento das ofertas dos proponentes. Importante mencionar que o estudo é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estritamente referencial, sendo que cabe aos licitantes a responsabilidade por suas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próprias projeções econômico-financeiras não cabendo, em nenhum momento, avocar os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dados ora apresentados para eventuais pleitos de revisão da proposta ou do contrato.</w:t>
      </w:r>
    </w:p>
    <w:p w14:paraId="32A2FF64" w14:textId="77777777" w:rsidR="00CE44DC" w:rsidRPr="007F0B5F" w:rsidRDefault="00CE44DC" w:rsidP="00CE44DC">
      <w:pPr>
        <w:tabs>
          <w:tab w:val="left" w:pos="579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0606156D" w14:textId="393EF4E4" w:rsidR="00CE44DC" w:rsidRPr="007F0B5F" w:rsidRDefault="00CE44DC" w:rsidP="00CE44DC">
      <w:pPr>
        <w:tabs>
          <w:tab w:val="left" w:pos="579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sz w:val="24"/>
          <w:szCs w:val="24"/>
          <w:lang w:eastAsia="pt-BR"/>
        </w:rPr>
        <w:t>Para consolidação deste Plano de Negócios, foram considerados os estudos e projetos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apresentados no âmbito da PMI, com as respectivas valorações, as disposições contábeis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e fiscais vigentes e as alterações promovidas nas revisões realizadas pela Prefeitura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 xml:space="preserve">Municipal. </w:t>
      </w:r>
    </w:p>
    <w:p w14:paraId="14EB656E" w14:textId="77777777" w:rsidR="007F0B5F" w:rsidRPr="007F0B5F" w:rsidRDefault="007F0B5F" w:rsidP="00CE44DC">
      <w:pPr>
        <w:tabs>
          <w:tab w:val="left" w:pos="579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30F39EE9" w14:textId="2FF63F69" w:rsidR="007F0B5F" w:rsidRPr="007F0B5F" w:rsidRDefault="00CE44DC" w:rsidP="00CE44DC">
      <w:pPr>
        <w:tabs>
          <w:tab w:val="left" w:pos="579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sz w:val="24"/>
          <w:szCs w:val="24"/>
          <w:lang w:eastAsia="pt-BR"/>
        </w:rPr>
        <w:t>Esta revisão considera como data</w:t>
      </w:r>
      <w:r w:rsidR="007F5DDA" w:rsidRP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 xml:space="preserve">base o mês de </w:t>
      </w:r>
      <w:r w:rsidR="007F5DDA" w:rsidRPr="007F0B5F">
        <w:rPr>
          <w:rFonts w:ascii="Arial" w:eastAsia="MS Mincho" w:hAnsi="Arial" w:cs="Arial"/>
          <w:sz w:val="24"/>
          <w:szCs w:val="24"/>
          <w:lang w:eastAsia="pt-BR"/>
        </w:rPr>
        <w:t>dezembro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 xml:space="preserve"> de 202</w:t>
      </w:r>
      <w:r w:rsidR="007F5DDA" w:rsidRPr="007F0B5F">
        <w:rPr>
          <w:rFonts w:ascii="Arial" w:eastAsia="MS Mincho" w:hAnsi="Arial" w:cs="Arial"/>
          <w:sz w:val="24"/>
          <w:szCs w:val="24"/>
          <w:lang w:eastAsia="pt-BR"/>
        </w:rPr>
        <w:t>1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.</w:t>
      </w:r>
    </w:p>
    <w:p w14:paraId="32351BCC" w14:textId="77777777" w:rsidR="007F0B5F" w:rsidRPr="007F0B5F" w:rsidRDefault="007F0B5F" w:rsidP="00CE44DC">
      <w:pPr>
        <w:tabs>
          <w:tab w:val="left" w:pos="579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3270ABF3" w14:textId="3F8A2834" w:rsidR="00CE44DC" w:rsidRPr="007F0B5F" w:rsidRDefault="00CE44DC" w:rsidP="00CE44DC">
      <w:pPr>
        <w:tabs>
          <w:tab w:val="left" w:pos="579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sz w:val="24"/>
          <w:szCs w:val="24"/>
          <w:lang w:eastAsia="pt-BR"/>
        </w:rPr>
        <w:t xml:space="preserve">Este Anexo também apresenta, no item 5 .as diretrizes para elaboração </w:t>
      </w:r>
      <w:r w:rsidR="00353786" w:rsidRPr="007F0B5F">
        <w:rPr>
          <w:rFonts w:ascii="Arial" w:eastAsia="MS Mincho" w:hAnsi="Arial" w:cs="Arial"/>
          <w:sz w:val="24"/>
          <w:szCs w:val="24"/>
          <w:lang w:eastAsia="pt-BR"/>
        </w:rPr>
        <w:t xml:space="preserve">do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 xml:space="preserve">Plano de Negócios </w:t>
      </w:r>
      <w:r w:rsidR="00353786" w:rsidRPr="007F0B5F">
        <w:rPr>
          <w:rFonts w:ascii="Arial" w:eastAsia="MS Mincho" w:hAnsi="Arial" w:cs="Arial"/>
          <w:sz w:val="24"/>
          <w:szCs w:val="24"/>
          <w:lang w:eastAsia="pt-BR"/>
        </w:rPr>
        <w:t xml:space="preserve">pela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 xml:space="preserve">Licitante </w:t>
      </w:r>
      <w:r w:rsidR="00353786" w:rsidRPr="007F0B5F">
        <w:rPr>
          <w:rFonts w:ascii="Arial" w:eastAsia="MS Mincho" w:hAnsi="Arial" w:cs="Arial"/>
          <w:sz w:val="24"/>
          <w:szCs w:val="24"/>
          <w:lang w:eastAsia="pt-BR"/>
        </w:rPr>
        <w:t>V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encedora a ser apresentado antes da assinatura do Contrato de Concessão.</w:t>
      </w:r>
    </w:p>
    <w:p w14:paraId="578BD37F" w14:textId="77777777" w:rsidR="00EB6F98" w:rsidRPr="007F0B5F" w:rsidRDefault="00EB6F98" w:rsidP="00CE44DC">
      <w:pPr>
        <w:tabs>
          <w:tab w:val="left" w:pos="579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27814958" w14:textId="77777777" w:rsidR="00CE44DC" w:rsidRPr="007F0B5F" w:rsidRDefault="00CE44DC" w:rsidP="00CE44DC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25E7740F" w14:textId="77777777" w:rsidR="00CE44DC" w:rsidRPr="007F0B5F" w:rsidRDefault="00CE44DC" w:rsidP="00CE44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b/>
          <w:bCs/>
          <w:sz w:val="24"/>
          <w:szCs w:val="24"/>
          <w:lang w:eastAsia="pt-BR"/>
        </w:rPr>
        <w:t>INVESTIMENTOS</w:t>
      </w:r>
    </w:p>
    <w:p w14:paraId="3B5C3B0A" w14:textId="77777777" w:rsidR="00CE44DC" w:rsidRPr="007F0B5F" w:rsidRDefault="00CE44DC" w:rsidP="00CE44DC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5C51D56F" w14:textId="36BD07E8" w:rsidR="00CE44DC" w:rsidRPr="007F0B5F" w:rsidRDefault="00CE44DC" w:rsidP="00CE44DC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sz w:val="24"/>
          <w:szCs w:val="24"/>
          <w:lang w:eastAsia="pt-BR"/>
        </w:rPr>
        <w:t xml:space="preserve">Os investimentos necessários à operacionalização do projeto de modernização do Sistema Municipal de Iluminação Pública de cidade de </w:t>
      </w:r>
      <w:r w:rsidR="008C5B09" w:rsidRPr="007F0B5F">
        <w:rPr>
          <w:rFonts w:ascii="Arial" w:eastAsia="MS Mincho" w:hAnsi="Arial" w:cs="Arial"/>
          <w:sz w:val="24"/>
          <w:szCs w:val="24"/>
          <w:lang w:eastAsia="pt-BR"/>
        </w:rPr>
        <w:t>Araranguá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 xml:space="preserve"> envolvem: luminárias LED;</w:t>
      </w:r>
      <w:r w:rsidR="00DB3AF2" w:rsidRPr="007F0B5F" w:rsidDel="00DB3AF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Materiais de instalação LED; Rede de Telegestão; Ampliação do parque de luminárias;</w:t>
      </w:r>
      <w:r w:rsidR="00DB3AF2" w:rsidRPr="007F0B5F" w:rsidDel="00DB3AF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 xml:space="preserve">Iluminação 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>de Destaque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; Descarte</w:t>
      </w:r>
      <w:r w:rsidR="00DB3AF2" w:rsidRP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de lâmpadas antigas; Provisão para Acidentes; Veículos; Estrutura e Serviços de</w:t>
      </w:r>
      <w:r w:rsidR="00DB3AF2" w:rsidRP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instalação.</w:t>
      </w:r>
    </w:p>
    <w:p w14:paraId="4A75E541" w14:textId="3E500C52" w:rsidR="00CE44DC" w:rsidRPr="007F0B5F" w:rsidRDefault="00CE44DC" w:rsidP="00CE44DC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sz w:val="24"/>
          <w:szCs w:val="24"/>
          <w:lang w:eastAsia="pt-BR"/>
        </w:rPr>
        <w:br/>
        <w:t>Durante todo o contrato haverá investimento com melhoria de rede, no intuito de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aprimorar a infraestrutura do sistema de iluminação pública.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7F0B5F" w:rsidRP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Os valores estimados em CCO são referentes à instalação do Centro de Controle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Operacional, isto é, aquisição e instalação de infraestrutura de operações e data center, softwares, mobiliários e equipamentos em geral para a unidade.</w:t>
      </w:r>
      <w:r w:rsid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7F0B5F" w:rsidRPr="007F0B5F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7F0B5F">
        <w:rPr>
          <w:rFonts w:ascii="Arial" w:eastAsia="MS Mincho" w:hAnsi="Arial" w:cs="Arial"/>
          <w:sz w:val="24"/>
          <w:szCs w:val="24"/>
          <w:lang w:eastAsia="pt-BR"/>
        </w:rPr>
        <w:t>Na sequência são detalhados os itens de investimento:</w:t>
      </w:r>
    </w:p>
    <w:p w14:paraId="6EB87DB9" w14:textId="36BC0F3B" w:rsidR="00CE44DC" w:rsidRPr="007F0B5F" w:rsidRDefault="00CE44DC" w:rsidP="00CE44DC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67A108FF" w14:textId="27E3122E" w:rsidR="00CE44DC" w:rsidRPr="007F0B5F" w:rsidRDefault="00CE44DC" w:rsidP="00CE44DC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5F88DB88" w14:textId="77777777" w:rsidR="00CE44DC" w:rsidRPr="007F0B5F" w:rsidRDefault="00CE44DC" w:rsidP="00CE44DC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  <w:sectPr w:rsidR="00CE44DC" w:rsidRPr="007F0B5F" w:rsidSect="00464A79">
          <w:headerReference w:type="default" r:id="rId8"/>
          <w:footerReference w:type="default" r:id="rId9"/>
          <w:pgSz w:w="11906" w:h="16838"/>
          <w:pgMar w:top="1418" w:right="1134" w:bottom="1418" w:left="1701" w:header="709" w:footer="142" w:gutter="0"/>
          <w:cols w:space="708"/>
          <w:docGrid w:linePitch="360"/>
        </w:sectPr>
      </w:pPr>
    </w:p>
    <w:p w14:paraId="4D3D25A2" w14:textId="1465F9A2" w:rsidR="00CE44DC" w:rsidRPr="007F0B5F" w:rsidRDefault="00CE44DC" w:rsidP="00CE44DC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276"/>
        <w:gridCol w:w="1141"/>
        <w:gridCol w:w="908"/>
        <w:gridCol w:w="863"/>
        <w:gridCol w:w="863"/>
        <w:gridCol w:w="863"/>
        <w:gridCol w:w="863"/>
        <w:gridCol w:w="863"/>
        <w:gridCol w:w="908"/>
        <w:gridCol w:w="863"/>
        <w:gridCol w:w="863"/>
        <w:gridCol w:w="863"/>
        <w:gridCol w:w="908"/>
      </w:tblGrid>
      <w:tr w:rsidR="007F0B5F" w:rsidRPr="007F0B5F" w14:paraId="7B82E235" w14:textId="77777777" w:rsidTr="007F0B5F">
        <w:trPr>
          <w:trHeight w:val="35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B5A77E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Investimentos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E75FDF" w14:textId="77777777" w:rsidR="00D03499" w:rsidRPr="007F0B5F" w:rsidRDefault="00D03499" w:rsidP="007F0B5F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55B25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A7CCF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6FB26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1C88A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B3BAD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13EFA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DC8A0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8955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7563A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7D689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223C7E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779B0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7F0B5F" w:rsidRPr="007F0B5F" w14:paraId="3127D4B4" w14:textId="77777777" w:rsidTr="007F0B5F">
        <w:trPr>
          <w:trHeight w:val="35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11D3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Materiais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AE2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28.864.207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1572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14.364.438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7E2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122.695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3E9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123.632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B35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125.505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03C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126.441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A39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127.378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BD9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129.251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1CF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130.188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3AC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131.124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C8F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132.998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974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133.934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653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196.036</w:t>
            </w:r>
          </w:p>
        </w:tc>
      </w:tr>
      <w:tr w:rsidR="007F0B5F" w:rsidRPr="007F0B5F" w14:paraId="2BA91A10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D74E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Subcontratação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A3F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181.110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831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181.110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D7F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9A3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CD8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BD2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B72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CE5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40F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EC0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3132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24C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C96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0B5F" w:rsidRPr="007F0B5F" w14:paraId="61EC9A69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ABE3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Mão de Obra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CF4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2.910.195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7A6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1.141.290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0C4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313.808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C1A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F0D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5CA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BE52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447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E8F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0E1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461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FA5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733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392.259</w:t>
            </w:r>
          </w:p>
        </w:tc>
      </w:tr>
      <w:tr w:rsidR="007F0B5F" w:rsidRPr="007F0B5F" w14:paraId="4002CDC4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862F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Veículos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A35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1.010.120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705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301.040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3EA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869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A38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0C2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E2E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5EC2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2F6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CCE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390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6DD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301.040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44F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0B5F" w:rsidRPr="007F0B5F" w14:paraId="7BF6D75F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BDF5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Estrutura Operacional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2D1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920.714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3B2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300.301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1E0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DA5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76D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5FF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473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140.770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FE6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5A7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49E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892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3DC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169.436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624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0B5F" w:rsidRPr="007F0B5F" w14:paraId="55509F4D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4894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 Investimentos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335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D88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750.000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0B1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EBC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99D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AC9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FA0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106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E15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B15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83C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C74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B6C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0B5F" w:rsidRPr="007F0B5F" w14:paraId="1C99D3E6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3C18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2682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34.636.346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0F2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17.038.179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74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436.503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9B4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123.632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DCF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125.505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FE6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126.441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62A2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321.648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9BD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129.251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9F42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130.188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63E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131.124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158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132.998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542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604.410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196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588.295</w:t>
            </w:r>
          </w:p>
        </w:tc>
      </w:tr>
      <w:tr w:rsidR="007F0B5F" w:rsidRPr="007F0B5F" w14:paraId="13DD1412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09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B108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13C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20D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2F5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231E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283E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8D0A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384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499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CA8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C962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9449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8CA3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0B5F" w:rsidRPr="007F0B5F" w14:paraId="54D85265" w14:textId="77777777" w:rsidTr="007F0B5F">
        <w:trPr>
          <w:trHeight w:val="35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57BBA0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Investimentos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C5AEB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CD325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104D5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736BC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F9959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ECB0F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4E28AE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7B8E7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14B98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1F461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D0C17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9AB54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29C78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7F0B5F" w:rsidRPr="007F0B5F" w14:paraId="6BDEAF41" w14:textId="77777777" w:rsidTr="007F0B5F">
        <w:trPr>
          <w:trHeight w:val="35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CA0E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Materiais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3B0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9.858.113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468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249.705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15C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251.633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A612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254.119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E98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256.839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32D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259.704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0DD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FA5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264.910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DFB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266.838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DF2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270.260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77D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272.188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48E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275.611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9EA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278.475</w:t>
            </w:r>
          </w:p>
        </w:tc>
      </w:tr>
      <w:tr w:rsidR="007F0B5F" w:rsidRPr="007F0B5F" w14:paraId="1FBBF357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461A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Subcontratação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261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79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4AD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D24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B6A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06F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644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189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2B0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758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93C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546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806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0B5F" w:rsidRPr="007F0B5F" w14:paraId="4501B7CF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0BE1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Mão de Obra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5DD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1.062.838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46FE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4D1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953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56B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8E5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3E2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689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DC7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EEF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1C4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792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B13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0B5F" w:rsidRPr="007F0B5F" w14:paraId="5F115D96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6892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Veículos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AA3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DF8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953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EC5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C60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E16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88AE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3C6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EFF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301.040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D70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FA2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30F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21B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0B5F" w:rsidRPr="007F0B5F" w14:paraId="447A3E75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3EFA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Estrutura Operacional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BD7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0E8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E14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30C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140.770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E1B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FAE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1AD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FA1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C0A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169.436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1D7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EF1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1A2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FB8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0B5F" w:rsidRPr="007F0B5F" w14:paraId="38B81061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E9FE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 Investimentos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86C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0B91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69C7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E8A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6E6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BC3D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40EE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E352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9A2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A4E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56F0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279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26D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0B5F" w:rsidRPr="007F0B5F" w14:paraId="304F4CFA" w14:textId="77777777" w:rsidTr="007F0B5F">
        <w:trPr>
          <w:trHeight w:val="3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2B23" w14:textId="77777777" w:rsidR="00D03499" w:rsidRPr="007F0B5F" w:rsidRDefault="00D03499" w:rsidP="0028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A5A5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10.920.951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932B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249.705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A57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251.633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E0E9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448.389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3A6F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256.839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B4D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259.704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F033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262.190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9D96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264.910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3ACA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737.314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F332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270.260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E604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272.188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08C8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275.611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DEFC" w14:textId="77777777" w:rsidR="00D03499" w:rsidRPr="007F0B5F" w:rsidRDefault="00D03499" w:rsidP="0028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278.475</w:t>
            </w:r>
          </w:p>
        </w:tc>
      </w:tr>
    </w:tbl>
    <w:p w14:paraId="499D6BED" w14:textId="77777777" w:rsidR="00D03499" w:rsidRPr="007F0B5F" w:rsidRDefault="00D03499" w:rsidP="00CE44DC">
      <w:pPr>
        <w:rPr>
          <w:rFonts w:ascii="Arial" w:hAnsi="Arial" w:cs="Arial"/>
          <w:sz w:val="24"/>
          <w:szCs w:val="24"/>
        </w:rPr>
      </w:pPr>
    </w:p>
    <w:p w14:paraId="31082DC5" w14:textId="37CCB450" w:rsidR="00CE44DC" w:rsidRPr="007F0B5F" w:rsidRDefault="00CE44DC" w:rsidP="00CE44DC">
      <w:pPr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O investimento total estimado, no decorrer do prazo de Concessão de 25 (vinte e cinco) anos e considerando a da data-base de </w:t>
      </w:r>
      <w:r w:rsidR="00EE33B8" w:rsidRPr="007F0B5F">
        <w:rPr>
          <w:rFonts w:ascii="Arial" w:hAnsi="Arial" w:cs="Arial"/>
          <w:sz w:val="24"/>
          <w:szCs w:val="24"/>
        </w:rPr>
        <w:t>dezembro</w:t>
      </w:r>
      <w:r w:rsidRPr="007F0B5F">
        <w:rPr>
          <w:rFonts w:ascii="Arial" w:hAnsi="Arial" w:cs="Arial"/>
          <w:sz w:val="24"/>
          <w:szCs w:val="24"/>
        </w:rPr>
        <w:t xml:space="preserve"> de 202</w:t>
      </w:r>
      <w:r w:rsidR="00FD7DAD" w:rsidRPr="007F0B5F">
        <w:rPr>
          <w:rFonts w:ascii="Arial" w:hAnsi="Arial" w:cs="Arial"/>
          <w:sz w:val="24"/>
          <w:szCs w:val="24"/>
        </w:rPr>
        <w:t>1</w:t>
      </w:r>
      <w:r w:rsidRPr="007F0B5F">
        <w:rPr>
          <w:rFonts w:ascii="Arial" w:hAnsi="Arial" w:cs="Arial"/>
          <w:sz w:val="24"/>
          <w:szCs w:val="24"/>
        </w:rPr>
        <w:t xml:space="preserve">, é de </w:t>
      </w:r>
      <w:r w:rsidRPr="007F0B5F">
        <w:rPr>
          <w:rFonts w:ascii="Arial" w:hAnsi="Arial" w:cs="Arial"/>
          <w:b/>
          <w:bCs/>
          <w:sz w:val="24"/>
          <w:szCs w:val="24"/>
        </w:rPr>
        <w:t xml:space="preserve">R$ </w:t>
      </w:r>
      <w:r w:rsidR="00D03499" w:rsidRPr="007F0B5F">
        <w:rPr>
          <w:rFonts w:ascii="Arial" w:hAnsi="Arial" w:cs="Arial"/>
          <w:b/>
          <w:bCs/>
          <w:sz w:val="24"/>
          <w:szCs w:val="24"/>
        </w:rPr>
        <w:t>34.636.346,91</w:t>
      </w:r>
      <w:r w:rsidRPr="007F0B5F">
        <w:rPr>
          <w:rFonts w:ascii="Arial" w:hAnsi="Arial" w:cs="Arial"/>
          <w:b/>
          <w:bCs/>
          <w:sz w:val="24"/>
          <w:szCs w:val="24"/>
        </w:rPr>
        <w:t>.</w:t>
      </w:r>
    </w:p>
    <w:p w14:paraId="2DA5AFD1" w14:textId="77777777" w:rsidR="00A82DB0" w:rsidRPr="007F0B5F" w:rsidRDefault="00A82DB0" w:rsidP="00CE44DC">
      <w:pPr>
        <w:rPr>
          <w:rFonts w:ascii="Arial" w:hAnsi="Arial" w:cs="Arial"/>
          <w:sz w:val="24"/>
          <w:szCs w:val="24"/>
        </w:rPr>
        <w:sectPr w:rsidR="00A82DB0" w:rsidRPr="007F0B5F" w:rsidSect="00CE44DC">
          <w:pgSz w:w="16838" w:h="11906" w:orient="landscape"/>
          <w:pgMar w:top="1701" w:right="1418" w:bottom="1134" w:left="1418" w:header="709" w:footer="142" w:gutter="0"/>
          <w:cols w:space="708"/>
          <w:docGrid w:linePitch="360"/>
        </w:sectPr>
      </w:pPr>
    </w:p>
    <w:p w14:paraId="4E8DA240" w14:textId="77777777" w:rsidR="00A82DB0" w:rsidRPr="007F0B5F" w:rsidRDefault="00A82DB0" w:rsidP="00CE44DC">
      <w:pPr>
        <w:rPr>
          <w:rFonts w:ascii="Arial" w:hAnsi="Arial" w:cs="Arial"/>
          <w:sz w:val="24"/>
          <w:szCs w:val="24"/>
        </w:rPr>
      </w:pPr>
    </w:p>
    <w:p w14:paraId="63FD3DE6" w14:textId="5BA448AD" w:rsidR="00A82DB0" w:rsidRPr="007F0B5F" w:rsidRDefault="00F73433" w:rsidP="00A82DB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7F0B5F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eastAsia="pt-BR"/>
        </w:rPr>
        <w:t>CUSTO</w:t>
      </w:r>
      <w:r w:rsidRPr="007F0B5F">
        <w:rPr>
          <w:rFonts w:ascii="Arial" w:eastAsia="MS Mincho" w:hAnsi="Arial" w:cs="Arial"/>
          <w:b/>
          <w:bCs/>
          <w:sz w:val="24"/>
          <w:szCs w:val="24"/>
          <w:lang w:eastAsia="pt-BR"/>
        </w:rPr>
        <w:t>S E DESPESAS OPERACIONAIS</w:t>
      </w:r>
    </w:p>
    <w:p w14:paraId="33E06B37" w14:textId="77777777" w:rsidR="00A82DB0" w:rsidRPr="007F0B5F" w:rsidRDefault="00A82DB0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</w:p>
    <w:p w14:paraId="2FFDC45C" w14:textId="0E8588DE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Os custos operacionais e despesas operacionais previstos consideram todos os serviços necessários ao cumprimento do objeto da Concessão, para administração, operação e manutenção do sistema, das luminárias LED e da rede de Telegestão.</w:t>
      </w:r>
    </w:p>
    <w:p w14:paraId="28F4F907" w14:textId="77777777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Estes custos incluem gastos com: pessoal; instalações; equipes de técnicos eletricistas; reparação de falhas; reposição de materiais; manutenção de veículos usados pelo pessoal de campo; assim como o seu combustível, gastos com seguros e garantias exigidos.</w:t>
      </w:r>
    </w:p>
    <w:p w14:paraId="461A6295" w14:textId="77777777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São apropriadas, ainda, as despesas com: auditoria; serviços contábeis; advocatícios; descontaminação de lâmpadas e operação e manutenção.</w:t>
      </w:r>
    </w:p>
    <w:p w14:paraId="18B278A7" w14:textId="1FF58E2B" w:rsidR="00A82DB0" w:rsidRPr="007F0B5F" w:rsidRDefault="00F73433" w:rsidP="007F0B5F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  <w:sectPr w:rsidR="00A82DB0" w:rsidRPr="007F0B5F" w:rsidSect="00A82DB0">
          <w:pgSz w:w="11901" w:h="16817"/>
          <w:pgMar w:top="1418" w:right="1701" w:bottom="1418" w:left="1134" w:header="709" w:footer="142" w:gutter="0"/>
          <w:cols w:space="708"/>
          <w:docGrid w:linePitch="360"/>
        </w:sectPr>
      </w:pPr>
      <w:r w:rsidRPr="007F0B5F">
        <w:rPr>
          <w:rFonts w:ascii="Arial" w:hAnsi="Arial" w:cs="Arial"/>
          <w:sz w:val="24"/>
          <w:szCs w:val="24"/>
        </w:rPr>
        <w:t>Os valores dos grupos de custos mencionados, relacionados com a operação da Concessão, estão detalhados na tabela a seguir:</w:t>
      </w:r>
    </w:p>
    <w:p w14:paraId="78DE153D" w14:textId="77777777" w:rsidR="00F73433" w:rsidRPr="007F0B5F" w:rsidRDefault="00F73433" w:rsidP="00F73433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14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02CB" w:rsidRPr="007F0B5F" w14:paraId="2297AE1C" w14:textId="77777777" w:rsidTr="0028244D">
        <w:trPr>
          <w:trHeight w:val="56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89CBD2" w14:textId="77777777" w:rsidR="00D03499" w:rsidRPr="007F0B5F" w:rsidRDefault="00D03499" w:rsidP="007F0B5F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Custos e Despesas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5D027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338A0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424A3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25F18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AEAD5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3BD2F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19461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A1C91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ABC20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3E93F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BFC21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852E3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4BC41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28244D" w:rsidRPr="007F0B5F" w14:paraId="571A573B" w14:textId="77777777" w:rsidTr="0028244D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CF5E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Materiais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323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5.619.997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9B7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861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357.075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FF7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12A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C1D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520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0F0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A7B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D54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98D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DD2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D65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</w:tr>
      <w:tr w:rsidR="0028244D" w:rsidRPr="007F0B5F" w14:paraId="34620255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D6FC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Subcontratação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5F6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7.638.584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EFA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252.525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BAB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279.189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477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287.926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2D7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289.619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609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291.330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ED4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293.054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B35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294.798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3EC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DDB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85C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D8C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B1B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303.775</w:t>
            </w:r>
          </w:p>
        </w:tc>
      </w:tr>
      <w:tr w:rsidR="0028244D" w:rsidRPr="007F0B5F" w14:paraId="2A481085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CAED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Mão de Obra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9F7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7.789.367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83D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331.497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C55A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D37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4AE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9B9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2DD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905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F73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562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6B29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D3B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184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</w:tr>
      <w:tr w:rsidR="0028244D" w:rsidRPr="007F0B5F" w14:paraId="6E8CC76D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751A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Seguros e Garantias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3DE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1.081.129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065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171.049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AEB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7E9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1D6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015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548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846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2B1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842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40A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617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1CC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62.920</w:t>
            </w:r>
          </w:p>
        </w:tc>
      </w:tr>
      <w:tr w:rsidR="0028244D" w:rsidRPr="007F0B5F" w14:paraId="41911317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0DF1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Pessoal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8BC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13.507.795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1D3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710.937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9AD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A8C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581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6CD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23F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570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C71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5FC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30A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7A7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EE6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</w:tr>
      <w:tr w:rsidR="0028244D" w:rsidRPr="007F0B5F" w14:paraId="36EE5380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4AD6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Veículos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C99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547.147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A45A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0BA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0CC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81C9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DA0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235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0C7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D44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87F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2FF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EF8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EE5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</w:tr>
      <w:tr w:rsidR="0028244D" w:rsidRPr="007F0B5F" w14:paraId="3C3F5475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5B2F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Estrutura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F7B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3.118.942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31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EA0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C98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7E8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F0D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41F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D8A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624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A2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2F1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C559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E8B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</w:tr>
      <w:tr w:rsidR="0028244D" w:rsidRPr="007F0B5F" w14:paraId="25332E66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FA91" w14:textId="77777777" w:rsidR="00D03499" w:rsidRPr="007F0B5F" w:rsidRDefault="00D03499" w:rsidP="007F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369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39.302.961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FA6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2.188.774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C47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1.672.957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DA7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1.530.289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902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1.516.982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F2F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1.518.693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387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1.520.418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DAD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1.522.161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61D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1.523.924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32F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1.525.698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15B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1.527.493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854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1.529.306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75D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1.561.139</w:t>
            </w:r>
          </w:p>
        </w:tc>
      </w:tr>
      <w:tr w:rsidR="0028244D" w:rsidRPr="007F0B5F" w14:paraId="055E4E6F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22E1" w14:textId="77EC3F8C" w:rsidR="0028244D" w:rsidRPr="007F0B5F" w:rsidRDefault="0028244D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F5D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384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5BE6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471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D62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2344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F086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123B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B32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DE3B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5AF1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3C3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058E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82DB0" w:rsidRPr="007F0B5F" w14:paraId="4E2102C2" w14:textId="77777777" w:rsidTr="0028244D">
        <w:trPr>
          <w:trHeight w:val="56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A85BD2" w14:textId="44D23C9F" w:rsidR="00D03499" w:rsidRPr="007F0B5F" w:rsidRDefault="00D03499" w:rsidP="007F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Custos e </w:t>
            </w:r>
            <w:r w:rsidR="0028244D"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espesas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D7476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DC0D0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EC4C5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3A539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A4BBF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CBC7D9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BEB6D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79E66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888DD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B5CF6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E1ECF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4DB8E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BBF7B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28244D" w:rsidRPr="007F0B5F" w14:paraId="480ADE79" w14:textId="77777777" w:rsidTr="0028244D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C50F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Materiais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C0F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A38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F7A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002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0E3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231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957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75E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9FD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659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4FE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7F0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CE9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205.671</w:t>
            </w:r>
          </w:p>
        </w:tc>
      </w:tr>
      <w:tr w:rsidR="0028244D" w:rsidRPr="007F0B5F" w14:paraId="1A7875BF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90A6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Subcontratação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0B5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305.627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FD0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307.498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735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309.387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195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311.289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C39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313.211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542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315.158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C71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317.124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C20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319.109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3AC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623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323.137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EEB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325.179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67B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197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354.328</w:t>
            </w:r>
          </w:p>
        </w:tc>
      </w:tr>
      <w:tr w:rsidR="0028244D" w:rsidRPr="007F0B5F" w14:paraId="407B6ECD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4448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Mão de Obra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3C0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738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9DD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4FF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F23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33F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D68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220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713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DDD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386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C94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53A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310.745</w:t>
            </w:r>
          </w:p>
        </w:tc>
      </w:tr>
      <w:tr w:rsidR="0028244D" w:rsidRPr="007F0B5F" w14:paraId="7C8FD7AC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5C305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Seguros e Garantias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6E7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527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09F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98F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7A2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0C6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83EB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803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F659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9BA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686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1DBE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C6F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32.920</w:t>
            </w:r>
          </w:p>
        </w:tc>
      </w:tr>
      <w:tr w:rsidR="0028244D" w:rsidRPr="007F0B5F" w14:paraId="5122A152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EEE6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Pessoal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C659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0CA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ADE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EF0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E30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C86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CB5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EA5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8B2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541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2EE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164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5F8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533.202</w:t>
            </w:r>
          </w:p>
        </w:tc>
      </w:tr>
      <w:tr w:rsidR="0028244D" w:rsidRPr="007F0B5F" w14:paraId="2B639928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1C13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Veículos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B9B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F09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01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413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E16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0104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ACB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3C5A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FCB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14C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ECA9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D0E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3E8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21.598</w:t>
            </w:r>
          </w:p>
        </w:tc>
      </w:tr>
      <w:tr w:rsidR="0028244D" w:rsidRPr="007F0B5F" w14:paraId="10F73F80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D7E0" w14:textId="77777777" w:rsidR="00D03499" w:rsidRPr="007F0B5F" w:rsidRDefault="00D03499" w:rsidP="00D03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Estrutura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71C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00F5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9CE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4B5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56F1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05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535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111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5D9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BAA7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61D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939D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9B3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123.228</w:t>
            </w:r>
          </w:p>
        </w:tc>
      </w:tr>
      <w:tr w:rsidR="0028244D" w:rsidRPr="007F0B5F" w14:paraId="2F94B9B5" w14:textId="77777777" w:rsidTr="0028244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54EA" w14:textId="77777777" w:rsidR="00D03499" w:rsidRPr="007F0B5F" w:rsidRDefault="00D03499" w:rsidP="007F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6A2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1.562.990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34A6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1.549.861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BB3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1.551.751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110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1.538.653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666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1.540.575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32E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1.542.522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0948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1.544.488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C853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1.546.473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708B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1.548.477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67C2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1.550.500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682C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1.552.542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5300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1.554.604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F9DF" w14:textId="77777777" w:rsidR="00D03499" w:rsidRPr="007F0B5F" w:rsidRDefault="00D03499" w:rsidP="00D0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0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1.581.691</w:t>
            </w:r>
          </w:p>
        </w:tc>
      </w:tr>
    </w:tbl>
    <w:p w14:paraId="0FCB2ED9" w14:textId="3D9FEBEB" w:rsidR="00A82DB0" w:rsidRPr="007F0B5F" w:rsidRDefault="00F73433" w:rsidP="00F2076A">
      <w:pPr>
        <w:rPr>
          <w:rFonts w:ascii="Arial" w:hAnsi="Arial" w:cs="Arial"/>
          <w:sz w:val="24"/>
          <w:szCs w:val="24"/>
        </w:rPr>
        <w:sectPr w:rsidR="00A82DB0" w:rsidRPr="007F0B5F" w:rsidSect="00A82DB0">
          <w:pgSz w:w="16817" w:h="11901" w:orient="landscape"/>
          <w:pgMar w:top="1701" w:right="1418" w:bottom="1134" w:left="1418" w:header="709" w:footer="142" w:gutter="0"/>
          <w:cols w:space="708"/>
          <w:docGrid w:linePitch="360"/>
        </w:sectPr>
      </w:pPr>
      <w:r w:rsidRPr="007F0B5F">
        <w:rPr>
          <w:rFonts w:ascii="Arial" w:hAnsi="Arial" w:cs="Arial"/>
          <w:sz w:val="24"/>
          <w:szCs w:val="24"/>
        </w:rPr>
        <w:t xml:space="preserve">O valor total previsto dos custos operacionais e despesas administrativas, ao longo do contrato, considerando </w:t>
      </w:r>
      <w:r w:rsidR="00F2076A" w:rsidRPr="007F0B5F">
        <w:rPr>
          <w:rFonts w:ascii="Arial" w:hAnsi="Arial" w:cs="Arial"/>
          <w:sz w:val="24"/>
          <w:szCs w:val="24"/>
        </w:rPr>
        <w:t xml:space="preserve">a da data-base de </w:t>
      </w:r>
      <w:r w:rsidR="00EE33B8" w:rsidRPr="007F0B5F">
        <w:rPr>
          <w:rFonts w:ascii="Arial" w:hAnsi="Arial" w:cs="Arial"/>
          <w:sz w:val="24"/>
          <w:szCs w:val="24"/>
        </w:rPr>
        <w:t>dezembro</w:t>
      </w:r>
      <w:r w:rsidR="00F2076A" w:rsidRPr="007F0B5F">
        <w:rPr>
          <w:rFonts w:ascii="Arial" w:hAnsi="Arial" w:cs="Arial"/>
          <w:sz w:val="24"/>
          <w:szCs w:val="24"/>
        </w:rPr>
        <w:t xml:space="preserve"> de 2021, é de </w:t>
      </w:r>
      <w:r w:rsidR="00F2076A" w:rsidRPr="007F0B5F">
        <w:rPr>
          <w:rFonts w:ascii="Arial" w:hAnsi="Arial" w:cs="Arial"/>
          <w:b/>
          <w:bCs/>
          <w:sz w:val="24"/>
          <w:szCs w:val="24"/>
        </w:rPr>
        <w:t>R$</w:t>
      </w:r>
      <w:r w:rsidR="005A11A1" w:rsidRPr="007F0B5F">
        <w:rPr>
          <w:rFonts w:ascii="Arial" w:hAnsi="Arial" w:cs="Arial"/>
          <w:b/>
          <w:bCs/>
          <w:sz w:val="24"/>
          <w:szCs w:val="24"/>
        </w:rPr>
        <w:t>39.302.960,69</w:t>
      </w:r>
    </w:p>
    <w:p w14:paraId="492C51D6" w14:textId="77777777" w:rsidR="00F73433" w:rsidRPr="007F0B5F" w:rsidRDefault="00F73433" w:rsidP="00F73433">
      <w:pPr>
        <w:pStyle w:val="Heading2"/>
        <w:numPr>
          <w:ilvl w:val="0"/>
          <w:numId w:val="47"/>
        </w:numPr>
        <w:rPr>
          <w:rFonts w:ascii="Arial" w:hAnsi="Arial"/>
        </w:rPr>
      </w:pPr>
      <w:r w:rsidRPr="007F0B5F">
        <w:rPr>
          <w:rFonts w:ascii="Arial" w:hAnsi="Arial"/>
        </w:rPr>
        <w:lastRenderedPageBreak/>
        <w:t>TRIBUTOS E IMPOSTOS</w:t>
      </w:r>
    </w:p>
    <w:p w14:paraId="444C5EF3" w14:textId="77777777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</w:p>
    <w:p w14:paraId="40E372CF" w14:textId="77777777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Tendo por base na legislação vigente as alíquotas consideradas no estudo, referentes ao IRPJ (Imposto de Renda Pessoa Jurídica); CSLL (Contribuição Social Sobre o Lucro Líquido), bem como as incidências sobre as receitas do PIS (Programa de Integração Social e de Formação do Patrimônio do Servidor Público), da COFINS (Contribuição para o Financiamento da Seguridade Social) e do ISS (imposto sobre serviços de qualquer natureza), estão demonstradas a seguir:</w:t>
      </w:r>
    </w:p>
    <w:p w14:paraId="70B84391" w14:textId="77777777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4804" w:type="dxa"/>
        <w:jc w:val="center"/>
        <w:tblLook w:val="04A0" w:firstRow="1" w:lastRow="0" w:firstColumn="1" w:lastColumn="0" w:noHBand="0" w:noVBand="1"/>
      </w:tblPr>
      <w:tblGrid>
        <w:gridCol w:w="2817"/>
        <w:gridCol w:w="1987"/>
      </w:tblGrid>
      <w:tr w:rsidR="00F73433" w:rsidRPr="007F0B5F" w14:paraId="3D5479DD" w14:textId="77777777" w:rsidTr="00572794">
        <w:trPr>
          <w:trHeight w:val="320"/>
          <w:jc w:val="center"/>
        </w:trPr>
        <w:tc>
          <w:tcPr>
            <w:tcW w:w="281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4FFBE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98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415C9" w14:textId="77777777" w:rsidR="00F73433" w:rsidRPr="007F0B5F" w:rsidRDefault="00F73433" w:rsidP="0057279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Alíquotas</w:t>
            </w:r>
          </w:p>
        </w:tc>
      </w:tr>
      <w:tr w:rsidR="00F73433" w:rsidRPr="007F0B5F" w14:paraId="41125677" w14:textId="77777777" w:rsidTr="00572794">
        <w:trPr>
          <w:trHeight w:val="28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F5D0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IRPJ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274C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15,00%</w:t>
            </w:r>
          </w:p>
        </w:tc>
      </w:tr>
      <w:tr w:rsidR="00F73433" w:rsidRPr="007F0B5F" w14:paraId="6060ED41" w14:textId="77777777" w:rsidTr="00572794">
        <w:trPr>
          <w:trHeight w:val="28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F47C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Adicional de IR (acima de R$ 240.000,00)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3068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10,00%</w:t>
            </w:r>
          </w:p>
        </w:tc>
      </w:tr>
      <w:tr w:rsidR="00F73433" w:rsidRPr="007F0B5F" w14:paraId="0313D69D" w14:textId="77777777" w:rsidTr="00572794">
        <w:trPr>
          <w:trHeight w:val="28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D0E7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CSLL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CBD0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9,00%</w:t>
            </w:r>
          </w:p>
        </w:tc>
      </w:tr>
      <w:tr w:rsidR="00F73433" w:rsidRPr="007F0B5F" w14:paraId="156B0B29" w14:textId="77777777" w:rsidTr="00572794">
        <w:trPr>
          <w:trHeight w:val="28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0121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PIS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11C65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7,60%</w:t>
            </w:r>
          </w:p>
        </w:tc>
      </w:tr>
      <w:tr w:rsidR="00F73433" w:rsidRPr="007F0B5F" w14:paraId="342C76C6" w14:textId="77777777" w:rsidTr="00572794">
        <w:trPr>
          <w:trHeight w:val="28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EDC6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COFINS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A284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1,65%</w:t>
            </w:r>
          </w:p>
        </w:tc>
      </w:tr>
      <w:tr w:rsidR="00F73433" w:rsidRPr="007F0B5F" w14:paraId="4B1A40FB" w14:textId="77777777" w:rsidTr="00572794">
        <w:trPr>
          <w:trHeight w:val="300"/>
          <w:jc w:val="center"/>
        </w:trPr>
        <w:tc>
          <w:tcPr>
            <w:tcW w:w="2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D55516" w14:textId="77777777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ISS</w:t>
            </w:r>
          </w:p>
        </w:tc>
        <w:tc>
          <w:tcPr>
            <w:tcW w:w="19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2DE797" w14:textId="72FDAA4D" w:rsidR="00F73433" w:rsidRPr="007F0B5F" w:rsidRDefault="00F73433" w:rsidP="0057279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B5F">
              <w:rPr>
                <w:rFonts w:ascii="Arial" w:eastAsia="Times New Roman" w:hAnsi="Arial" w:cs="Arial"/>
                <w:sz w:val="24"/>
                <w:szCs w:val="24"/>
              </w:rPr>
              <w:t>Não incide</w:t>
            </w:r>
          </w:p>
        </w:tc>
      </w:tr>
    </w:tbl>
    <w:p w14:paraId="493BAEB5" w14:textId="77777777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</w:p>
    <w:p w14:paraId="11AA2136" w14:textId="77777777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Alíquota do ISS não incide sobre a atividade da concessão de iluminação pública propriamente dita, por ausência de previsão legal para tanto, haja vista que o rol Lista de Serviços da Legislação do ISS Municipal não possui esta atividade. Caso haja mudança na Legislação para cobrança do ISS sobre a concessão de iluminação pública, será tratado nos casos de reequilíbrio econômico-financeiro do contrato.</w:t>
      </w:r>
    </w:p>
    <w:p w14:paraId="46C8C4B9" w14:textId="77777777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</w:p>
    <w:p w14:paraId="1F2FB836" w14:textId="77777777" w:rsidR="00F73433" w:rsidRPr="007F0B5F" w:rsidRDefault="00F73433" w:rsidP="00F73433">
      <w:pPr>
        <w:pStyle w:val="Heading2"/>
        <w:numPr>
          <w:ilvl w:val="0"/>
          <w:numId w:val="47"/>
        </w:numPr>
        <w:rPr>
          <w:rFonts w:ascii="Arial" w:hAnsi="Arial"/>
        </w:rPr>
      </w:pPr>
      <w:r w:rsidRPr="007F0B5F">
        <w:rPr>
          <w:rFonts w:ascii="Arial" w:hAnsi="Arial"/>
        </w:rPr>
        <w:t>REMUNERAÇÃO DA CONCESSIONÁRIA</w:t>
      </w:r>
    </w:p>
    <w:p w14:paraId="04BAC2A4" w14:textId="77777777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</w:p>
    <w:p w14:paraId="0BC9CAF3" w14:textId="4DA209E3" w:rsidR="00F73433" w:rsidRPr="007F0B5F" w:rsidRDefault="00F73433" w:rsidP="00F73433">
      <w:pPr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O valor calculado para a Contraprestação Mensal Máxima é de </w:t>
      </w:r>
      <w:r w:rsidR="00AE041C" w:rsidRPr="007F0B5F">
        <w:rPr>
          <w:rFonts w:ascii="Arial" w:hAnsi="Arial" w:cs="Arial"/>
          <w:b/>
          <w:bCs/>
          <w:sz w:val="24"/>
          <w:szCs w:val="24"/>
        </w:rPr>
        <w:t xml:space="preserve">R$ </w:t>
      </w:r>
      <w:r w:rsidR="005A11A1" w:rsidRPr="007F0B5F">
        <w:rPr>
          <w:rFonts w:ascii="Arial" w:hAnsi="Arial" w:cs="Arial"/>
          <w:b/>
          <w:bCs/>
          <w:sz w:val="24"/>
          <w:szCs w:val="24"/>
        </w:rPr>
        <w:t xml:space="preserve">371.765,50 (trezentos e setenta e um mil, setecentos e sessenta e cinco reais e cinquenta </w:t>
      </w:r>
      <w:r w:rsidR="007F0B5F" w:rsidRPr="007F0B5F">
        <w:rPr>
          <w:rFonts w:ascii="Arial" w:hAnsi="Arial" w:cs="Arial"/>
          <w:b/>
          <w:bCs/>
          <w:sz w:val="24"/>
          <w:szCs w:val="24"/>
        </w:rPr>
        <w:t>centavos) referenciado</w:t>
      </w:r>
      <w:r w:rsidRPr="007F0B5F">
        <w:rPr>
          <w:rFonts w:ascii="Arial" w:hAnsi="Arial" w:cs="Arial"/>
          <w:sz w:val="24"/>
          <w:szCs w:val="24"/>
        </w:rPr>
        <w:t xml:space="preserve"> à data-base de </w:t>
      </w:r>
      <w:r w:rsidR="007F0B5F" w:rsidRPr="007F0B5F">
        <w:rPr>
          <w:rFonts w:ascii="Arial" w:eastAsia="MS Mincho" w:hAnsi="Arial" w:cs="Arial"/>
          <w:sz w:val="24"/>
          <w:szCs w:val="24"/>
          <w:lang w:eastAsia="pt-BR"/>
        </w:rPr>
        <w:t>dezembro</w:t>
      </w:r>
      <w:r w:rsidR="007F0B5F" w:rsidRPr="007F0B5F">
        <w:rPr>
          <w:rFonts w:ascii="Arial" w:hAnsi="Arial" w:cs="Arial"/>
          <w:sz w:val="24"/>
          <w:szCs w:val="24"/>
        </w:rPr>
        <w:t xml:space="preserve"> </w:t>
      </w:r>
      <w:r w:rsidRPr="007F0B5F">
        <w:rPr>
          <w:rFonts w:ascii="Arial" w:hAnsi="Arial" w:cs="Arial"/>
          <w:sz w:val="24"/>
          <w:szCs w:val="24"/>
        </w:rPr>
        <w:t>de 202</w:t>
      </w:r>
      <w:r w:rsidR="00F2076A" w:rsidRPr="007F0B5F">
        <w:rPr>
          <w:rFonts w:ascii="Arial" w:hAnsi="Arial" w:cs="Arial"/>
          <w:sz w:val="24"/>
          <w:szCs w:val="24"/>
        </w:rPr>
        <w:t>1</w:t>
      </w:r>
      <w:r w:rsidRPr="007F0B5F">
        <w:rPr>
          <w:rFonts w:ascii="Arial" w:hAnsi="Arial" w:cs="Arial"/>
          <w:sz w:val="24"/>
          <w:szCs w:val="24"/>
        </w:rPr>
        <w:t>.</w:t>
      </w:r>
    </w:p>
    <w:p w14:paraId="2049E150" w14:textId="1088C6F6" w:rsidR="00572794" w:rsidRPr="007F0B5F" w:rsidRDefault="00572794" w:rsidP="00572794">
      <w:pPr>
        <w:rPr>
          <w:rFonts w:ascii="Arial" w:hAnsi="Arial" w:cs="Arial"/>
          <w:sz w:val="24"/>
          <w:szCs w:val="24"/>
        </w:rPr>
      </w:pPr>
    </w:p>
    <w:p w14:paraId="6A457C71" w14:textId="29EF8753" w:rsidR="00A82DB0" w:rsidRPr="007F0B5F" w:rsidRDefault="00A82D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br w:type="page"/>
      </w:r>
    </w:p>
    <w:p w14:paraId="3685106F" w14:textId="1E64E8F6" w:rsidR="00F73433" w:rsidRPr="007F0B5F" w:rsidRDefault="00F73433" w:rsidP="00F73433">
      <w:pPr>
        <w:pStyle w:val="Heading2"/>
        <w:numPr>
          <w:ilvl w:val="0"/>
          <w:numId w:val="47"/>
        </w:numPr>
        <w:rPr>
          <w:rFonts w:ascii="Arial" w:hAnsi="Arial"/>
        </w:rPr>
      </w:pPr>
      <w:r w:rsidRPr="007F0B5F">
        <w:rPr>
          <w:rFonts w:ascii="Arial" w:hAnsi="Arial"/>
        </w:rPr>
        <w:lastRenderedPageBreak/>
        <w:t>DIRETRIZES PARA ELABORAÇÃO DO PLANO DE NEGÓCIOS DA LICITANTE</w:t>
      </w:r>
    </w:p>
    <w:p w14:paraId="29D44BA4" w14:textId="77777777" w:rsidR="00F73433" w:rsidRPr="007F0B5F" w:rsidRDefault="00F73433" w:rsidP="00F73433">
      <w:pPr>
        <w:rPr>
          <w:rFonts w:ascii="Arial" w:hAnsi="Arial" w:cs="Arial"/>
          <w:sz w:val="24"/>
          <w:szCs w:val="24"/>
        </w:rPr>
      </w:pPr>
    </w:p>
    <w:p w14:paraId="0B28769F" w14:textId="0D1F02BE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O objetivo deste capítulo é estabelecer as Diretrizes do Plano de Negócios a ser entregue</w:t>
      </w:r>
      <w:r w:rsidR="00973192" w:rsidRPr="007F0B5F">
        <w:rPr>
          <w:rFonts w:ascii="Arial" w:hAnsi="Arial" w:cs="Arial"/>
          <w:sz w:val="24"/>
          <w:szCs w:val="24"/>
        </w:rPr>
        <w:t xml:space="preserve"> </w:t>
      </w:r>
      <w:r w:rsidRPr="007F0B5F">
        <w:rPr>
          <w:rFonts w:ascii="Arial" w:hAnsi="Arial" w:cs="Arial"/>
          <w:sz w:val="24"/>
          <w:szCs w:val="24"/>
        </w:rPr>
        <w:t xml:space="preserve">pela Licitante vencedora como condição para </w:t>
      </w:r>
      <w:r w:rsidR="00973192" w:rsidRPr="007F0B5F">
        <w:rPr>
          <w:rFonts w:ascii="Arial" w:hAnsi="Arial" w:cs="Arial"/>
          <w:sz w:val="24"/>
          <w:szCs w:val="24"/>
        </w:rPr>
        <w:t>assinatura do contrato</w:t>
      </w:r>
      <w:r w:rsidRPr="007F0B5F">
        <w:rPr>
          <w:rFonts w:ascii="Arial" w:hAnsi="Arial" w:cs="Arial"/>
          <w:sz w:val="24"/>
          <w:szCs w:val="24"/>
        </w:rPr>
        <w:t>. O Plano de Negócios deverá ser analisado e atestado sua viabilidade e exequibilidade por INSTITUIÇÃO ou ENTIDADE FINANCEIRA, nos termos do item 20.</w:t>
      </w:r>
      <w:r w:rsidR="00973192" w:rsidRPr="007F0B5F">
        <w:rPr>
          <w:rFonts w:ascii="Arial" w:hAnsi="Arial" w:cs="Arial"/>
          <w:sz w:val="24"/>
          <w:szCs w:val="24"/>
        </w:rPr>
        <w:t xml:space="preserve">5 </w:t>
      </w:r>
      <w:r w:rsidRPr="007F0B5F">
        <w:rPr>
          <w:rFonts w:ascii="Arial" w:hAnsi="Arial" w:cs="Arial"/>
          <w:sz w:val="24"/>
          <w:szCs w:val="24"/>
        </w:rPr>
        <w:t>do Edital.</w:t>
      </w:r>
    </w:p>
    <w:p w14:paraId="72957B8A" w14:textId="67B8CCF4" w:rsidR="00F73433" w:rsidRPr="007F0B5F" w:rsidRDefault="00F73433" w:rsidP="00F73433">
      <w:pPr>
        <w:tabs>
          <w:tab w:val="left" w:pos="5790"/>
        </w:tabs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Além da descrição detalhada do Plano de Negócios, a Licitante </w:t>
      </w:r>
      <w:r w:rsidR="00973192" w:rsidRPr="007F0B5F">
        <w:rPr>
          <w:rFonts w:ascii="Arial" w:hAnsi="Arial" w:cs="Arial"/>
          <w:sz w:val="24"/>
          <w:szCs w:val="24"/>
        </w:rPr>
        <w:t xml:space="preserve">Vencedora </w:t>
      </w:r>
      <w:r w:rsidRPr="007F0B5F">
        <w:rPr>
          <w:rFonts w:ascii="Arial" w:hAnsi="Arial" w:cs="Arial"/>
          <w:sz w:val="24"/>
          <w:szCs w:val="24"/>
        </w:rPr>
        <w:t>deverá preencher</w:t>
      </w:r>
      <w:r w:rsidR="00572794" w:rsidRPr="007F0B5F">
        <w:rPr>
          <w:rFonts w:ascii="Arial" w:hAnsi="Arial" w:cs="Arial"/>
          <w:sz w:val="24"/>
          <w:szCs w:val="24"/>
        </w:rPr>
        <w:t xml:space="preserve"> </w:t>
      </w:r>
      <w:r w:rsidRPr="007F0B5F">
        <w:rPr>
          <w:rFonts w:ascii="Arial" w:hAnsi="Arial" w:cs="Arial"/>
          <w:sz w:val="24"/>
          <w:szCs w:val="24"/>
        </w:rPr>
        <w:t>planilhas com Quadros Financeiros.</w:t>
      </w:r>
    </w:p>
    <w:p w14:paraId="3A104CF3" w14:textId="77777777" w:rsidR="00572794" w:rsidRPr="007F0B5F" w:rsidRDefault="00572794" w:rsidP="00572794">
      <w:pPr>
        <w:spacing w:after="1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D6DA88B" w14:textId="734F08C4" w:rsidR="00F73433" w:rsidRPr="007F0B5F" w:rsidRDefault="00F73433" w:rsidP="00EB6F98">
      <w:pPr>
        <w:spacing w:after="1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5.1 Condições Gerais do Plano de Negócios </w:t>
      </w:r>
    </w:p>
    <w:p w14:paraId="42E79212" w14:textId="77777777" w:rsidR="00F73433" w:rsidRPr="007F0B5F" w:rsidRDefault="00F73433" w:rsidP="00F73433">
      <w:pPr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 </w:t>
      </w:r>
    </w:p>
    <w:p w14:paraId="48DB9182" w14:textId="2329CA5F" w:rsidR="00F73433" w:rsidRPr="007F0B5F" w:rsidRDefault="00F73433" w:rsidP="00F73433">
      <w:pPr>
        <w:ind w:left="2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O Plano de Negócios a ser elaborado é de exclusiva responsabilidade da Licitante </w:t>
      </w:r>
      <w:r w:rsidR="00973192" w:rsidRPr="007F0B5F">
        <w:rPr>
          <w:rFonts w:ascii="Arial" w:hAnsi="Arial" w:cs="Arial"/>
          <w:sz w:val="24"/>
          <w:szCs w:val="24"/>
        </w:rPr>
        <w:t xml:space="preserve">Vencedora </w:t>
      </w:r>
      <w:r w:rsidRPr="007F0B5F">
        <w:rPr>
          <w:rFonts w:ascii="Arial" w:hAnsi="Arial" w:cs="Arial"/>
          <w:sz w:val="24"/>
          <w:szCs w:val="24"/>
        </w:rPr>
        <w:t xml:space="preserve">e deverá ser consistente, em si e com a Proposta de Preço, e suficientemente claro quanto às diretrizes adotadas. </w:t>
      </w:r>
    </w:p>
    <w:p w14:paraId="3FC15924" w14:textId="14A9D01B" w:rsidR="00F73433" w:rsidRPr="007F0B5F" w:rsidRDefault="00F73433" w:rsidP="00572794">
      <w:pPr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O PLANO DE NEGÓCIOS deverá conter o detalhamento das premissas utilizadas na sua elaboração. </w:t>
      </w:r>
    </w:p>
    <w:p w14:paraId="5AE46BE7" w14:textId="2EA06227" w:rsidR="00F73433" w:rsidRPr="007F0B5F" w:rsidRDefault="00F73433" w:rsidP="00572794">
      <w:pPr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Na elaboração do Plano de Negócios dever</w:t>
      </w:r>
      <w:r w:rsidR="00973192" w:rsidRPr="007F0B5F">
        <w:rPr>
          <w:rFonts w:ascii="Arial" w:hAnsi="Arial" w:cs="Arial"/>
          <w:sz w:val="24"/>
          <w:szCs w:val="24"/>
        </w:rPr>
        <w:t>ão ser</w:t>
      </w:r>
      <w:r w:rsidRPr="007F0B5F">
        <w:rPr>
          <w:rFonts w:ascii="Arial" w:hAnsi="Arial" w:cs="Arial"/>
          <w:sz w:val="24"/>
          <w:szCs w:val="24"/>
        </w:rPr>
        <w:t xml:space="preserve"> observa</w:t>
      </w:r>
      <w:r w:rsidR="00973192" w:rsidRPr="007F0B5F">
        <w:rPr>
          <w:rFonts w:ascii="Arial" w:hAnsi="Arial" w:cs="Arial"/>
          <w:sz w:val="24"/>
          <w:szCs w:val="24"/>
        </w:rPr>
        <w:t>das</w:t>
      </w:r>
      <w:r w:rsidRPr="007F0B5F">
        <w:rPr>
          <w:rFonts w:ascii="Arial" w:hAnsi="Arial" w:cs="Arial"/>
          <w:sz w:val="24"/>
          <w:szCs w:val="24"/>
        </w:rPr>
        <w:t xml:space="preserve"> as disposições do Edital de Licitação e seus Anexos, a minuta do Contrato e as diretrizes expostas neste Anexo. </w:t>
      </w:r>
    </w:p>
    <w:p w14:paraId="5F997D6B" w14:textId="33184474" w:rsidR="00F73433" w:rsidRPr="007F0B5F" w:rsidRDefault="00F73433" w:rsidP="00572794">
      <w:pPr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O Plano de Negócios deverá ser apresentado impresso, com todas as folhas numeradas e rubricadas, em ordem sequencial crescente a parar de 1 (um). As planilhas financeiras incluídas no Plano de Negócios deverão ser fornecidas em arquivos em meio magnético, gravados em arquivos padrão PDF (Adobe Acrobat) e em planilha eletrônica editável e compatível com Microsoft Excel, incluindo sua formulação matemática, vínculos e macros de forma aberta, passível de verificação, mediante a apresentação de todos os dados, fórmulas e cálculos realizados que resultaram no fluxo de caixa das projeções financeiras, para possibilitar a análise e a consistência dos cálculos. </w:t>
      </w:r>
    </w:p>
    <w:p w14:paraId="64C176F9" w14:textId="77777777" w:rsidR="00F73433" w:rsidRPr="007F0B5F" w:rsidRDefault="00F73433" w:rsidP="00F73433">
      <w:pPr>
        <w:ind w:left="2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Ocorrendo divergência entre valores indicados na planilha impressa e aqueles constantes da planilha em meio magnético, prevalecerão aqueles da planilha impressa. </w:t>
      </w:r>
    </w:p>
    <w:p w14:paraId="6BCCF808" w14:textId="036922C2" w:rsidR="00F73433" w:rsidRPr="007F0B5F" w:rsidRDefault="00F73433" w:rsidP="00572794">
      <w:pPr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Deverão ser observados os princípios fundamentais de contabilidade aceitos no Brasil e submetidos ao regime da Lei Federal 6.404/76 e alterações posteriores, especialmente as introduzidas pela Lei 11.638/2007, bem como as Normas Brasileiras de Contabilidade convergidas às normas internacionais, mediante a aplicação das </w:t>
      </w:r>
      <w:r w:rsidRPr="007F0B5F">
        <w:rPr>
          <w:rFonts w:ascii="Arial" w:hAnsi="Arial" w:cs="Arial"/>
          <w:sz w:val="24"/>
          <w:szCs w:val="24"/>
        </w:rPr>
        <w:lastRenderedPageBreak/>
        <w:t xml:space="preserve">Internacional Financial </w:t>
      </w:r>
      <w:proofErr w:type="spellStart"/>
      <w:r w:rsidRPr="007F0B5F">
        <w:rPr>
          <w:rFonts w:ascii="Arial" w:hAnsi="Arial" w:cs="Arial"/>
          <w:sz w:val="24"/>
          <w:szCs w:val="24"/>
        </w:rPr>
        <w:t>Reporting</w:t>
      </w:r>
      <w:proofErr w:type="spellEnd"/>
      <w:r w:rsidRPr="007F0B5F">
        <w:rPr>
          <w:rFonts w:ascii="Arial" w:hAnsi="Arial" w:cs="Arial"/>
          <w:sz w:val="24"/>
          <w:szCs w:val="24"/>
        </w:rPr>
        <w:t xml:space="preserve"> Standards – IFRS, além das disposições da legislação fiscal vigente, incluindo as instruções normativas SRF nº 162, de 31/12/1998 e nº 130, de 10/11/1999, referentes à amortização e depreciação dos investimentos. </w:t>
      </w:r>
    </w:p>
    <w:p w14:paraId="0A22BF4D" w14:textId="5A11D452" w:rsidR="00F73433" w:rsidRPr="007F0B5F" w:rsidRDefault="00973192" w:rsidP="00572794">
      <w:pPr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A</w:t>
      </w:r>
      <w:r w:rsidR="00F73433" w:rsidRPr="007F0B5F">
        <w:rPr>
          <w:rFonts w:ascii="Arial" w:hAnsi="Arial" w:cs="Arial"/>
          <w:sz w:val="24"/>
          <w:szCs w:val="24"/>
        </w:rPr>
        <w:t xml:space="preserve">s projeções </w:t>
      </w:r>
      <w:r w:rsidRPr="007F0B5F">
        <w:rPr>
          <w:rFonts w:ascii="Arial" w:hAnsi="Arial" w:cs="Arial"/>
          <w:sz w:val="24"/>
          <w:szCs w:val="24"/>
        </w:rPr>
        <w:t xml:space="preserve">devem ser apresentadas </w:t>
      </w:r>
      <w:r w:rsidR="00F73433" w:rsidRPr="007F0B5F">
        <w:rPr>
          <w:rFonts w:ascii="Arial" w:hAnsi="Arial" w:cs="Arial"/>
          <w:sz w:val="24"/>
          <w:szCs w:val="24"/>
        </w:rPr>
        <w:t xml:space="preserve">em moeda constante (não considerar a inflação). </w:t>
      </w:r>
    </w:p>
    <w:p w14:paraId="2A33C2B8" w14:textId="0BF52D11" w:rsidR="00F73433" w:rsidRPr="007F0B5F" w:rsidRDefault="00F73433" w:rsidP="00572794">
      <w:pPr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O Plano de Negócios deverá ser apresentado em milhares de Reais (R$1.000), com periodicidade anual.  </w:t>
      </w:r>
    </w:p>
    <w:p w14:paraId="271FF4E9" w14:textId="6C6C1D7A" w:rsidR="00F73433" w:rsidRPr="007F0B5F" w:rsidRDefault="00973192" w:rsidP="007F0B5F">
      <w:pPr>
        <w:spacing w:after="108"/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D</w:t>
      </w:r>
      <w:r w:rsidR="00F73433" w:rsidRPr="007F0B5F">
        <w:rPr>
          <w:rFonts w:ascii="Arial" w:hAnsi="Arial" w:cs="Arial"/>
          <w:sz w:val="24"/>
          <w:szCs w:val="24"/>
        </w:rPr>
        <w:t xml:space="preserve">eve </w:t>
      </w:r>
      <w:r w:rsidRPr="007F0B5F">
        <w:rPr>
          <w:rFonts w:ascii="Arial" w:hAnsi="Arial" w:cs="Arial"/>
          <w:sz w:val="24"/>
          <w:szCs w:val="24"/>
        </w:rPr>
        <w:t xml:space="preserve">ser </w:t>
      </w:r>
      <w:r w:rsidR="00F73433" w:rsidRPr="007F0B5F">
        <w:rPr>
          <w:rFonts w:ascii="Arial" w:hAnsi="Arial" w:cs="Arial"/>
          <w:sz w:val="24"/>
          <w:szCs w:val="24"/>
        </w:rPr>
        <w:t>considera</w:t>
      </w:r>
      <w:r w:rsidRPr="007F0B5F">
        <w:rPr>
          <w:rFonts w:ascii="Arial" w:hAnsi="Arial" w:cs="Arial"/>
          <w:sz w:val="24"/>
          <w:szCs w:val="24"/>
        </w:rPr>
        <w:t>do</w:t>
      </w:r>
      <w:r w:rsidR="00F73433" w:rsidRPr="007F0B5F">
        <w:rPr>
          <w:rFonts w:ascii="Arial" w:hAnsi="Arial" w:cs="Arial"/>
          <w:sz w:val="24"/>
          <w:szCs w:val="24"/>
        </w:rPr>
        <w:t>, por ocasião da elaboração do Plano de Negócios</w:t>
      </w:r>
      <w:r w:rsidRPr="007F0B5F">
        <w:rPr>
          <w:rFonts w:ascii="Arial" w:hAnsi="Arial" w:cs="Arial"/>
          <w:sz w:val="24"/>
          <w:szCs w:val="24"/>
        </w:rPr>
        <w:t xml:space="preserve"> o</w:t>
      </w:r>
      <w:r w:rsidR="00F73433" w:rsidRPr="007F0B5F">
        <w:rPr>
          <w:rFonts w:ascii="Arial" w:hAnsi="Arial" w:cs="Arial"/>
          <w:sz w:val="24"/>
          <w:szCs w:val="24"/>
        </w:rPr>
        <w:t xml:space="preserve"> regime fiscal vigente na data de entrega das propostas; </w:t>
      </w:r>
    </w:p>
    <w:p w14:paraId="100347D1" w14:textId="3D641F54" w:rsidR="00F73433" w:rsidRPr="007F0B5F" w:rsidRDefault="00973192" w:rsidP="00F73433">
      <w:pPr>
        <w:spacing w:after="230"/>
        <w:ind w:left="2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O</w:t>
      </w:r>
      <w:r w:rsidR="00F73433" w:rsidRPr="007F0B5F">
        <w:rPr>
          <w:rFonts w:ascii="Arial" w:hAnsi="Arial" w:cs="Arial"/>
          <w:sz w:val="24"/>
          <w:szCs w:val="24"/>
        </w:rPr>
        <w:t xml:space="preserve">s valores </w:t>
      </w:r>
      <w:r w:rsidRPr="007F0B5F">
        <w:rPr>
          <w:rFonts w:ascii="Arial" w:hAnsi="Arial" w:cs="Arial"/>
          <w:sz w:val="24"/>
          <w:szCs w:val="24"/>
        </w:rPr>
        <w:t xml:space="preserve">devem ser </w:t>
      </w:r>
      <w:r w:rsidR="007F0B5F" w:rsidRPr="007F0B5F">
        <w:rPr>
          <w:rFonts w:ascii="Arial" w:hAnsi="Arial" w:cs="Arial"/>
          <w:sz w:val="24"/>
          <w:szCs w:val="24"/>
        </w:rPr>
        <w:t>expressos</w:t>
      </w:r>
      <w:r w:rsidRPr="007F0B5F">
        <w:rPr>
          <w:rFonts w:ascii="Arial" w:hAnsi="Arial" w:cs="Arial"/>
          <w:sz w:val="24"/>
          <w:szCs w:val="24"/>
        </w:rPr>
        <w:t xml:space="preserve"> </w:t>
      </w:r>
      <w:r w:rsidR="00F73433" w:rsidRPr="007F0B5F">
        <w:rPr>
          <w:rFonts w:ascii="Arial" w:hAnsi="Arial" w:cs="Arial"/>
          <w:sz w:val="24"/>
          <w:szCs w:val="24"/>
        </w:rPr>
        <w:t xml:space="preserve">em Reais (R$) referidos à data base de </w:t>
      </w:r>
      <w:r w:rsidRPr="007F0B5F">
        <w:rPr>
          <w:rFonts w:ascii="Arial" w:hAnsi="Arial" w:cs="Arial"/>
          <w:sz w:val="24"/>
          <w:szCs w:val="24"/>
        </w:rPr>
        <w:t>apresentação da proposta na Licitação.</w:t>
      </w:r>
      <w:r w:rsidR="00F73433" w:rsidRPr="007F0B5F">
        <w:rPr>
          <w:rFonts w:ascii="Arial" w:hAnsi="Arial" w:cs="Arial"/>
          <w:sz w:val="24"/>
          <w:szCs w:val="24"/>
        </w:rPr>
        <w:t xml:space="preserve"> </w:t>
      </w:r>
    </w:p>
    <w:p w14:paraId="68E6E71A" w14:textId="77777777" w:rsidR="00F73433" w:rsidRPr="007F0B5F" w:rsidRDefault="00F73433" w:rsidP="00F73433">
      <w:pPr>
        <w:spacing w:after="230"/>
        <w:ind w:left="2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O Plano de Negócios deve ser estruturado por ano concessão e deve considerar todos os encargos previstos neste Edital e seus Anexos.</w:t>
      </w:r>
    </w:p>
    <w:p w14:paraId="7D3CC9E7" w14:textId="77777777" w:rsidR="00F73433" w:rsidRPr="007F0B5F" w:rsidRDefault="00F73433" w:rsidP="00EB6F98">
      <w:pPr>
        <w:spacing w:after="11"/>
        <w:ind w:left="62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5.2 Diretrizes para o Plano de Negócios </w:t>
      </w:r>
    </w:p>
    <w:p w14:paraId="201A8D9E" w14:textId="77777777" w:rsidR="00F73433" w:rsidRPr="007F0B5F" w:rsidRDefault="00F73433" w:rsidP="00F73433">
      <w:pPr>
        <w:spacing w:line="259" w:lineRule="auto"/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B7B30D" w14:textId="158676CC" w:rsidR="00F73433" w:rsidRPr="007F0B5F" w:rsidRDefault="00F73433" w:rsidP="00F73433">
      <w:pPr>
        <w:ind w:left="2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No Plano de Negócios deverão ser informadas as premissas </w:t>
      </w:r>
      <w:r w:rsidR="00973192" w:rsidRPr="007F0B5F">
        <w:rPr>
          <w:rFonts w:ascii="Arial" w:hAnsi="Arial" w:cs="Arial"/>
          <w:sz w:val="24"/>
          <w:szCs w:val="24"/>
        </w:rPr>
        <w:t>dos</w:t>
      </w:r>
      <w:r w:rsidRPr="007F0B5F">
        <w:rPr>
          <w:rFonts w:ascii="Arial" w:hAnsi="Arial" w:cs="Arial"/>
          <w:sz w:val="24"/>
          <w:szCs w:val="24"/>
        </w:rPr>
        <w:t xml:space="preserve"> demonstrativos financeiros, contendo as hipóteses sobre as quais eles foram baseados. Para auxiliar o processo descritivo e de apresentação desses demonstrativos, dever</w:t>
      </w:r>
      <w:r w:rsidR="00973192" w:rsidRPr="007F0B5F">
        <w:rPr>
          <w:rFonts w:ascii="Arial" w:hAnsi="Arial" w:cs="Arial"/>
          <w:sz w:val="24"/>
          <w:szCs w:val="24"/>
        </w:rPr>
        <w:t>ão ser</w:t>
      </w:r>
      <w:r w:rsidRPr="007F0B5F">
        <w:rPr>
          <w:rFonts w:ascii="Arial" w:hAnsi="Arial" w:cs="Arial"/>
          <w:sz w:val="24"/>
          <w:szCs w:val="24"/>
        </w:rPr>
        <w:t xml:space="preserve"> preench</w:t>
      </w:r>
      <w:r w:rsidR="00973192" w:rsidRPr="007F0B5F">
        <w:rPr>
          <w:rFonts w:ascii="Arial" w:hAnsi="Arial" w:cs="Arial"/>
          <w:sz w:val="24"/>
          <w:szCs w:val="24"/>
        </w:rPr>
        <w:t>idas as</w:t>
      </w:r>
      <w:r w:rsidRPr="007F0B5F">
        <w:rPr>
          <w:rFonts w:ascii="Arial" w:hAnsi="Arial" w:cs="Arial"/>
          <w:sz w:val="24"/>
          <w:szCs w:val="24"/>
        </w:rPr>
        <w:t xml:space="preserve"> planilhas com quadros financeiros</w:t>
      </w:r>
      <w:r w:rsidR="00353786" w:rsidRPr="007F0B5F">
        <w:rPr>
          <w:rFonts w:ascii="Arial" w:hAnsi="Arial" w:cs="Arial"/>
          <w:sz w:val="24"/>
          <w:szCs w:val="24"/>
        </w:rPr>
        <w:t xml:space="preserve"> a seguir:</w:t>
      </w:r>
      <w:r w:rsidRPr="007F0B5F">
        <w:rPr>
          <w:rFonts w:ascii="Arial" w:hAnsi="Arial" w:cs="Arial"/>
          <w:sz w:val="24"/>
          <w:szCs w:val="24"/>
        </w:rPr>
        <w:t xml:space="preserve"> </w:t>
      </w:r>
    </w:p>
    <w:p w14:paraId="635CCC97" w14:textId="77777777" w:rsidR="00F73433" w:rsidRPr="007F0B5F" w:rsidRDefault="00F73433" w:rsidP="00F73433">
      <w:pPr>
        <w:spacing w:after="7" w:line="259" w:lineRule="auto"/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21B902" w14:textId="77777777" w:rsidR="00F73433" w:rsidRPr="007F0B5F" w:rsidRDefault="00F73433" w:rsidP="00EB6F98">
      <w:pPr>
        <w:spacing w:after="11"/>
        <w:ind w:left="62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5.2.1. QUADRO 1: Receitas e Tributos </w:t>
      </w:r>
    </w:p>
    <w:p w14:paraId="69CDBA04" w14:textId="0849EFFC" w:rsidR="00F73433" w:rsidRPr="007F0B5F" w:rsidRDefault="00F73433" w:rsidP="007F0B5F">
      <w:pPr>
        <w:spacing w:after="276"/>
        <w:ind w:left="377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eastAsia="Times New Roman" w:hAnsi="Arial" w:cs="Arial"/>
          <w:sz w:val="24"/>
          <w:szCs w:val="24"/>
        </w:rPr>
        <w:t xml:space="preserve">a) </w:t>
      </w:r>
      <w:r w:rsidRPr="007F0B5F">
        <w:rPr>
          <w:rFonts w:ascii="Arial" w:hAnsi="Arial" w:cs="Arial"/>
          <w:sz w:val="24"/>
          <w:szCs w:val="24"/>
        </w:rPr>
        <w:t xml:space="preserve">Receitas </w:t>
      </w:r>
      <w:r w:rsidR="00973192" w:rsidRPr="007F0B5F">
        <w:rPr>
          <w:rFonts w:ascii="Arial" w:eastAsia="Times New Roman" w:hAnsi="Arial" w:cs="Arial"/>
          <w:sz w:val="24"/>
          <w:szCs w:val="24"/>
        </w:rPr>
        <w:t>– contendo detalhamento d</w:t>
      </w:r>
      <w:r w:rsidRPr="007F0B5F">
        <w:rPr>
          <w:rFonts w:ascii="Arial" w:hAnsi="Arial" w:cs="Arial"/>
          <w:sz w:val="24"/>
          <w:szCs w:val="24"/>
        </w:rPr>
        <w:t xml:space="preserve">as receitas previstas: </w:t>
      </w:r>
    </w:p>
    <w:p w14:paraId="146622E4" w14:textId="77777777" w:rsidR="00F73433" w:rsidRPr="007F0B5F" w:rsidRDefault="00F73433" w:rsidP="00F73433">
      <w:pPr>
        <w:numPr>
          <w:ilvl w:val="4"/>
          <w:numId w:val="49"/>
        </w:numPr>
        <w:spacing w:after="3" w:line="249" w:lineRule="auto"/>
        <w:ind w:right="46" w:hanging="360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CONTRAPRESTAÇÃO MENSAL, observadas, em especial, as variações anuais até o valor máximo a partir do prazo de modernização, considerando o início dos serviços de manutenção e operação, sem descontos referentes aos Indicadores de Qualidade e Desempenho; </w:t>
      </w:r>
    </w:p>
    <w:p w14:paraId="3C717693" w14:textId="77777777" w:rsidR="00F73433" w:rsidRPr="007F0B5F" w:rsidRDefault="00F73433" w:rsidP="00F73433">
      <w:pPr>
        <w:numPr>
          <w:ilvl w:val="4"/>
          <w:numId w:val="49"/>
        </w:numPr>
        <w:spacing w:after="3" w:line="249" w:lineRule="auto"/>
        <w:ind w:right="46" w:hanging="360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As receitas financeiras oriundas de aplicações ou outras operações financeiras. </w:t>
      </w:r>
    </w:p>
    <w:p w14:paraId="67DEAE28" w14:textId="77777777" w:rsidR="00F73433" w:rsidRPr="007F0B5F" w:rsidRDefault="00F73433" w:rsidP="00F73433">
      <w:pPr>
        <w:spacing w:line="259" w:lineRule="auto"/>
        <w:ind w:left="1075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 </w:t>
      </w:r>
    </w:p>
    <w:p w14:paraId="05752B7C" w14:textId="6213DF48" w:rsidR="00F73433" w:rsidRPr="007F0B5F" w:rsidRDefault="00F73433" w:rsidP="00353786">
      <w:pPr>
        <w:spacing w:after="281"/>
        <w:ind w:left="377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eastAsia="Times New Roman" w:hAnsi="Arial" w:cs="Arial"/>
          <w:sz w:val="24"/>
          <w:szCs w:val="24"/>
        </w:rPr>
        <w:t xml:space="preserve">b) </w:t>
      </w:r>
      <w:r w:rsidRPr="007F0B5F">
        <w:rPr>
          <w:rFonts w:ascii="Arial" w:hAnsi="Arial" w:cs="Arial"/>
          <w:sz w:val="24"/>
          <w:szCs w:val="24"/>
        </w:rPr>
        <w:t xml:space="preserve">Tributos </w:t>
      </w:r>
      <w:r w:rsidR="00353786" w:rsidRPr="007F0B5F">
        <w:rPr>
          <w:rFonts w:ascii="Arial" w:eastAsia="Times New Roman" w:hAnsi="Arial" w:cs="Arial"/>
          <w:sz w:val="24"/>
          <w:szCs w:val="24"/>
        </w:rPr>
        <w:t xml:space="preserve">– contendo </w:t>
      </w:r>
      <w:r w:rsidR="00973192" w:rsidRPr="007F0B5F">
        <w:rPr>
          <w:rFonts w:ascii="Arial" w:hAnsi="Arial" w:cs="Arial"/>
          <w:sz w:val="24"/>
          <w:szCs w:val="24"/>
        </w:rPr>
        <w:t>detalhamento</w:t>
      </w:r>
      <w:r w:rsidRPr="007F0B5F">
        <w:rPr>
          <w:rFonts w:ascii="Arial" w:hAnsi="Arial" w:cs="Arial"/>
          <w:sz w:val="24"/>
          <w:szCs w:val="24"/>
        </w:rPr>
        <w:t xml:space="preserve"> </w:t>
      </w:r>
      <w:r w:rsidR="00973192" w:rsidRPr="007F0B5F">
        <w:rPr>
          <w:rFonts w:ascii="Arial" w:hAnsi="Arial" w:cs="Arial"/>
          <w:sz w:val="24"/>
          <w:szCs w:val="24"/>
        </w:rPr>
        <w:t>d</w:t>
      </w:r>
      <w:r w:rsidRPr="007F0B5F">
        <w:rPr>
          <w:rFonts w:ascii="Arial" w:hAnsi="Arial" w:cs="Arial"/>
          <w:sz w:val="24"/>
          <w:szCs w:val="24"/>
        </w:rPr>
        <w:t>os tributos que incidirão sobre os itens de receitas, seu regime de tributação, base de cálculo e alíquotas.</w:t>
      </w:r>
    </w:p>
    <w:p w14:paraId="7B11F994" w14:textId="77777777" w:rsidR="00F73433" w:rsidRPr="007F0B5F" w:rsidRDefault="00F73433" w:rsidP="00F73433">
      <w:pPr>
        <w:spacing w:after="3" w:line="249" w:lineRule="auto"/>
        <w:ind w:left="1567" w:right="46"/>
        <w:jc w:val="both"/>
        <w:rPr>
          <w:rFonts w:ascii="Arial" w:hAnsi="Arial" w:cs="Arial"/>
          <w:sz w:val="24"/>
          <w:szCs w:val="24"/>
        </w:rPr>
      </w:pPr>
    </w:p>
    <w:p w14:paraId="7BA0922E" w14:textId="77777777" w:rsidR="00F73433" w:rsidRPr="007F0B5F" w:rsidRDefault="00F73433" w:rsidP="00EB6F98">
      <w:pPr>
        <w:spacing w:after="11"/>
        <w:ind w:left="62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5.2.2. QUADRO 2: Despesas Operacionais  </w:t>
      </w:r>
    </w:p>
    <w:p w14:paraId="70B3D207" w14:textId="77777777" w:rsidR="00F73433" w:rsidRPr="007F0B5F" w:rsidRDefault="00F73433" w:rsidP="00F73433">
      <w:pPr>
        <w:spacing w:after="331" w:line="259" w:lineRule="auto"/>
        <w:ind w:left="2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Descrever o modelo de custos da SPE, detalhando:  </w:t>
      </w:r>
    </w:p>
    <w:p w14:paraId="3D8D46C9" w14:textId="77777777" w:rsidR="00F73433" w:rsidRPr="007F0B5F" w:rsidRDefault="00F73433" w:rsidP="00F73433">
      <w:pPr>
        <w:numPr>
          <w:ilvl w:val="2"/>
          <w:numId w:val="50"/>
        </w:numPr>
        <w:spacing w:after="3" w:line="249" w:lineRule="auto"/>
        <w:ind w:right="46" w:hanging="360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Custos operacionais </w:t>
      </w:r>
    </w:p>
    <w:p w14:paraId="35C950DF" w14:textId="77777777" w:rsidR="00F73433" w:rsidRPr="007F0B5F" w:rsidRDefault="00F73433" w:rsidP="007F0B5F">
      <w:pPr>
        <w:numPr>
          <w:ilvl w:val="2"/>
          <w:numId w:val="50"/>
        </w:numPr>
        <w:spacing w:after="3" w:line="249" w:lineRule="auto"/>
        <w:ind w:right="46" w:hanging="360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Custos administrativos  </w:t>
      </w:r>
    </w:p>
    <w:p w14:paraId="07303E14" w14:textId="77777777" w:rsidR="00F73433" w:rsidRPr="007F0B5F" w:rsidRDefault="00F73433" w:rsidP="007F0B5F">
      <w:pPr>
        <w:numPr>
          <w:ilvl w:val="2"/>
          <w:numId w:val="50"/>
        </w:numPr>
        <w:spacing w:after="3" w:line="249" w:lineRule="auto"/>
        <w:ind w:right="46" w:hanging="360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Outras despesas </w:t>
      </w:r>
    </w:p>
    <w:p w14:paraId="60CA282E" w14:textId="77777777" w:rsidR="00F73433" w:rsidRPr="007F0B5F" w:rsidRDefault="00F73433" w:rsidP="00F73433">
      <w:pPr>
        <w:numPr>
          <w:ilvl w:val="4"/>
          <w:numId w:val="51"/>
        </w:numPr>
        <w:spacing w:after="3" w:line="249" w:lineRule="auto"/>
        <w:ind w:right="46" w:hanging="360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Despesas relativas às garantias e seguros contratados.  </w:t>
      </w:r>
    </w:p>
    <w:p w14:paraId="46745F47" w14:textId="77777777" w:rsidR="00F73433" w:rsidRPr="007F0B5F" w:rsidRDefault="00F73433" w:rsidP="00F73433">
      <w:pPr>
        <w:numPr>
          <w:ilvl w:val="4"/>
          <w:numId w:val="51"/>
        </w:numPr>
        <w:spacing w:after="3" w:line="249" w:lineRule="auto"/>
        <w:ind w:right="46" w:hanging="360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Descrever as demais despesas previstas. </w:t>
      </w:r>
    </w:p>
    <w:p w14:paraId="0A2D8A81" w14:textId="0448000D" w:rsidR="00F73433" w:rsidRPr="007F0B5F" w:rsidRDefault="00F73433" w:rsidP="007F0B5F">
      <w:pPr>
        <w:numPr>
          <w:ilvl w:val="2"/>
          <w:numId w:val="50"/>
        </w:numPr>
        <w:spacing w:after="3" w:line="249" w:lineRule="auto"/>
        <w:ind w:right="46" w:hanging="360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Depreciação e amortização: </w:t>
      </w:r>
    </w:p>
    <w:p w14:paraId="10272758" w14:textId="77777777" w:rsidR="00F73433" w:rsidRPr="007F0B5F" w:rsidRDefault="00F73433" w:rsidP="00F73433">
      <w:pPr>
        <w:numPr>
          <w:ilvl w:val="4"/>
          <w:numId w:val="51"/>
        </w:numPr>
        <w:spacing w:after="3" w:line="249" w:lineRule="auto"/>
        <w:ind w:right="46" w:hanging="360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Detalhar as despesas com amortização do ativo financeiro e intangível, além das despesas com depreciação. </w:t>
      </w:r>
    </w:p>
    <w:p w14:paraId="491D2273" w14:textId="77777777" w:rsidR="00F73433" w:rsidRPr="007F0B5F" w:rsidRDefault="00F73433" w:rsidP="00F73433">
      <w:pPr>
        <w:spacing w:line="259" w:lineRule="auto"/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 </w:t>
      </w:r>
    </w:p>
    <w:p w14:paraId="7DBF7A8D" w14:textId="77777777" w:rsidR="00F73433" w:rsidRPr="007F0B5F" w:rsidRDefault="00F73433" w:rsidP="00EB6F98">
      <w:pPr>
        <w:spacing w:after="11"/>
        <w:ind w:left="62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5.2.3. QUADRO 3: Investimentos e Imobilizado </w:t>
      </w:r>
    </w:p>
    <w:p w14:paraId="279539F8" w14:textId="77777777" w:rsidR="00F73433" w:rsidRPr="007F0B5F" w:rsidRDefault="00F73433" w:rsidP="00F73433">
      <w:pPr>
        <w:spacing w:after="333" w:line="259" w:lineRule="auto"/>
        <w:ind w:left="2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Descrever os investimentos previstos para a implantação do projeto, com cronologia de implantação e vida útil considerada. </w:t>
      </w:r>
    </w:p>
    <w:p w14:paraId="22DD974B" w14:textId="77777777" w:rsidR="00F73433" w:rsidRPr="007F0B5F" w:rsidRDefault="00F73433" w:rsidP="00F73433">
      <w:pPr>
        <w:spacing w:line="259" w:lineRule="auto"/>
        <w:ind w:left="7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01D491" w14:textId="77777777" w:rsidR="00F73433" w:rsidRPr="007F0B5F" w:rsidRDefault="00F73433" w:rsidP="00EB6F98">
      <w:pPr>
        <w:spacing w:after="11"/>
        <w:ind w:left="62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5.2.4. QUADRO 4: Plano de Garantias e Seguros </w:t>
      </w:r>
    </w:p>
    <w:p w14:paraId="1520E53B" w14:textId="77777777" w:rsidR="00F73433" w:rsidRPr="007F0B5F" w:rsidRDefault="00F73433" w:rsidP="00F73433">
      <w:pPr>
        <w:spacing w:after="365"/>
        <w:ind w:left="2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Detalhar as garantias e seguros contratados, para atender as exigências contratuais, durante a fase de modernização e durante a fase de operação e manutenção, com a indicação das condições, características de cada produto e custos. </w:t>
      </w:r>
    </w:p>
    <w:p w14:paraId="2A06B624" w14:textId="77777777" w:rsidR="00F73433" w:rsidRPr="007F0B5F" w:rsidRDefault="00F73433" w:rsidP="00EB6F98">
      <w:pPr>
        <w:spacing w:after="11"/>
        <w:ind w:left="62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5.2.5. QUADRO 5: Despesas Pré-Operacionais </w:t>
      </w:r>
    </w:p>
    <w:p w14:paraId="6282423B" w14:textId="77777777" w:rsidR="00F73433" w:rsidRPr="007F0B5F" w:rsidRDefault="00F73433" w:rsidP="00F73433">
      <w:pPr>
        <w:ind w:left="2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Descrever as despesas pré-operacionais da SPE, que ocorrerão antes do início da implantação do objeto do escopo do projeto. </w:t>
      </w:r>
    </w:p>
    <w:p w14:paraId="3A33CF8A" w14:textId="77777777" w:rsidR="00F73433" w:rsidRPr="007F0B5F" w:rsidRDefault="00F73433" w:rsidP="00F73433">
      <w:pPr>
        <w:spacing w:line="259" w:lineRule="auto"/>
        <w:ind w:left="2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 </w:t>
      </w:r>
    </w:p>
    <w:p w14:paraId="70ADAF81" w14:textId="77777777" w:rsidR="00F73433" w:rsidRPr="007F0B5F" w:rsidRDefault="00F73433" w:rsidP="00EB6F98">
      <w:pPr>
        <w:spacing w:after="11"/>
        <w:ind w:left="62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5.2.6. QUADRO 6: Serviços da Dívida </w:t>
      </w:r>
    </w:p>
    <w:p w14:paraId="05F7E62F" w14:textId="77777777" w:rsidR="00F73433" w:rsidRPr="007F0B5F" w:rsidRDefault="00F73433" w:rsidP="00F73433">
      <w:pPr>
        <w:ind w:left="2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Descrever o plano de financiamento da SPE, incluindo os aportes de acionistas com recursos próprios, empréstimos, emissões de títulos, emissões de debêntures e leasing financeiro e respectivos custos quanto à despesa de juros, taxas, comissões, seguros e garantias. </w:t>
      </w:r>
    </w:p>
    <w:p w14:paraId="12465B50" w14:textId="77777777" w:rsidR="00F73433" w:rsidRPr="007F0B5F" w:rsidRDefault="00F73433" w:rsidP="00F73433">
      <w:pPr>
        <w:spacing w:line="259" w:lineRule="auto"/>
        <w:ind w:left="2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 </w:t>
      </w:r>
    </w:p>
    <w:p w14:paraId="3029D56B" w14:textId="77777777" w:rsidR="00F73433" w:rsidRPr="007F0B5F" w:rsidRDefault="00F73433" w:rsidP="00EB6F98">
      <w:pPr>
        <w:spacing w:after="11"/>
        <w:ind w:left="62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5.2.7. QUADRO 7: Fluxo de Caixa </w:t>
      </w:r>
    </w:p>
    <w:p w14:paraId="5B4B9A4C" w14:textId="2F69BA2E" w:rsidR="00F73433" w:rsidRPr="007F0B5F" w:rsidRDefault="00973192" w:rsidP="00F73433">
      <w:pPr>
        <w:ind w:left="2" w:right="46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P</w:t>
      </w:r>
      <w:r w:rsidR="00F73433" w:rsidRPr="007F0B5F">
        <w:rPr>
          <w:rFonts w:ascii="Arial" w:hAnsi="Arial" w:cs="Arial"/>
          <w:sz w:val="24"/>
          <w:szCs w:val="24"/>
        </w:rPr>
        <w:t xml:space="preserve">rojetar o Fluxo de Caixa do Projeto (SPE desalavancado) e o Fluxo de Caixa do Acionista (SPE alavancado), compatível com as premissas adotadas no Plano de Negócios. Deverá ser calculada a Taxa Interna de Retorno para o Fluxo de Caixa do Projeto e para o Fluxo de Caixa do Acionista. </w:t>
      </w:r>
    </w:p>
    <w:p w14:paraId="7E6B4480" w14:textId="77777777" w:rsidR="00F73433" w:rsidRPr="007F0B5F" w:rsidRDefault="00F73433" w:rsidP="00F73433">
      <w:pPr>
        <w:spacing w:line="259" w:lineRule="auto"/>
        <w:ind w:left="7"/>
        <w:rPr>
          <w:rFonts w:ascii="Arial" w:hAnsi="Arial" w:cs="Arial"/>
          <w:sz w:val="24"/>
          <w:szCs w:val="24"/>
        </w:rPr>
      </w:pPr>
    </w:p>
    <w:p w14:paraId="742FDC1B" w14:textId="05D4CE1D" w:rsidR="00F73433" w:rsidRPr="007F0B5F" w:rsidRDefault="00F73433" w:rsidP="00EB6F98">
      <w:pPr>
        <w:spacing w:after="11"/>
        <w:ind w:left="62"/>
        <w:outlineLvl w:val="2"/>
        <w:rPr>
          <w:rFonts w:ascii="Arial" w:hAnsi="Arial" w:cs="Arial"/>
          <w:b/>
          <w:bCs/>
          <w:sz w:val="24"/>
          <w:szCs w:val="24"/>
        </w:rPr>
      </w:pPr>
      <w:r w:rsidRPr="007F0B5F">
        <w:rPr>
          <w:rFonts w:ascii="Arial" w:eastAsia="Times New Roman" w:hAnsi="Arial" w:cs="Arial"/>
          <w:b/>
          <w:bCs/>
          <w:sz w:val="24"/>
          <w:szCs w:val="24"/>
        </w:rPr>
        <w:t>5.2.8. QUADRO 8: Demonstrações Contábeis da SPE</w:t>
      </w:r>
      <w:r w:rsidR="005D52C5"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 conforme as regras do ICPC01</w:t>
      </w:r>
      <w:r w:rsidRPr="007F0B5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9E6E9C5" w14:textId="06183534" w:rsidR="00F73433" w:rsidRPr="007F0B5F" w:rsidRDefault="00973192" w:rsidP="00F73433">
      <w:pPr>
        <w:ind w:left="2" w:right="46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>A</w:t>
      </w:r>
      <w:r w:rsidR="00F73433" w:rsidRPr="007F0B5F">
        <w:rPr>
          <w:rFonts w:ascii="Arial" w:hAnsi="Arial" w:cs="Arial"/>
          <w:sz w:val="24"/>
          <w:szCs w:val="24"/>
        </w:rPr>
        <w:t xml:space="preserve">presentar de forma sintética, porém detalhando os valores referentes a: </w:t>
      </w:r>
    </w:p>
    <w:p w14:paraId="7A6E6124" w14:textId="77777777" w:rsidR="00F73433" w:rsidRPr="007F0B5F" w:rsidRDefault="00F73433" w:rsidP="00F73433">
      <w:pPr>
        <w:numPr>
          <w:ilvl w:val="0"/>
          <w:numId w:val="52"/>
        </w:numPr>
        <w:spacing w:after="3" w:line="249" w:lineRule="auto"/>
        <w:ind w:right="46" w:firstLine="713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A Demonstração de Resultados da SPE anual projetados para cada ano </w:t>
      </w:r>
    </w:p>
    <w:p w14:paraId="77919756" w14:textId="77777777" w:rsidR="00F73433" w:rsidRPr="007F0B5F" w:rsidRDefault="00F73433" w:rsidP="00F73433">
      <w:pPr>
        <w:ind w:left="2" w:right="46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do CONTRATO durante toda a Concessão. </w:t>
      </w:r>
    </w:p>
    <w:p w14:paraId="538E9B50" w14:textId="3C5C5D36" w:rsidR="00F73433" w:rsidRPr="007F0B5F" w:rsidRDefault="00F73433" w:rsidP="00F73433">
      <w:pPr>
        <w:numPr>
          <w:ilvl w:val="0"/>
          <w:numId w:val="52"/>
        </w:numPr>
        <w:spacing w:after="3" w:line="249" w:lineRule="auto"/>
        <w:ind w:right="46" w:firstLine="713"/>
        <w:jc w:val="both"/>
        <w:rPr>
          <w:rFonts w:ascii="Arial" w:hAnsi="Arial" w:cs="Arial"/>
          <w:sz w:val="24"/>
          <w:szCs w:val="24"/>
        </w:rPr>
      </w:pPr>
      <w:r w:rsidRPr="007F0B5F">
        <w:rPr>
          <w:rFonts w:ascii="Arial" w:hAnsi="Arial" w:cs="Arial"/>
          <w:sz w:val="24"/>
          <w:szCs w:val="24"/>
        </w:rPr>
        <w:t xml:space="preserve">O Balanço Patrimonial da SPE anual projetados para cada ano do Contrato durante toda a Concessão. </w:t>
      </w:r>
    </w:p>
    <w:p w14:paraId="769C5E9D" w14:textId="77777777" w:rsidR="00F73433" w:rsidRPr="007F0B5F" w:rsidRDefault="00F73433" w:rsidP="00F73433">
      <w:pPr>
        <w:spacing w:line="259" w:lineRule="auto"/>
        <w:ind w:left="7"/>
        <w:rPr>
          <w:rFonts w:ascii="Arial" w:hAnsi="Arial" w:cs="Arial"/>
          <w:sz w:val="24"/>
          <w:szCs w:val="24"/>
        </w:rPr>
      </w:pPr>
    </w:p>
    <w:p w14:paraId="032ED3CA" w14:textId="77777777" w:rsidR="00F73433" w:rsidRPr="007F0B5F" w:rsidRDefault="00F73433" w:rsidP="00CE44DC">
      <w:pPr>
        <w:rPr>
          <w:rFonts w:ascii="Arial" w:hAnsi="Arial" w:cs="Arial"/>
          <w:sz w:val="24"/>
          <w:szCs w:val="24"/>
        </w:rPr>
      </w:pPr>
    </w:p>
    <w:sectPr w:rsidR="00F73433" w:rsidRPr="007F0B5F" w:rsidSect="007F0B5F">
      <w:pgSz w:w="11901" w:h="16817"/>
      <w:pgMar w:top="1418" w:right="1701" w:bottom="1418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EE89" w14:textId="77777777" w:rsidR="004F7412" w:rsidRDefault="004F7412" w:rsidP="00412E68">
      <w:pPr>
        <w:spacing w:after="0" w:line="240" w:lineRule="auto"/>
      </w:pPr>
      <w:r>
        <w:separator/>
      </w:r>
    </w:p>
  </w:endnote>
  <w:endnote w:type="continuationSeparator" w:id="0">
    <w:p w14:paraId="3AC34300" w14:textId="77777777" w:rsidR="004F7412" w:rsidRDefault="004F7412" w:rsidP="0041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2FF3" w14:textId="77777777" w:rsidR="008C5B09" w:rsidRDefault="008C5B09" w:rsidP="008C5B09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A05A28">
      <w:rPr>
        <w:rFonts w:ascii="Arial" w:hAnsi="Arial" w:cs="Tahoma"/>
        <w:b/>
        <w:color w:val="808080"/>
        <w:sz w:val="14"/>
        <w:szCs w:val="16"/>
      </w:rPr>
      <w:t>Secretaria Municipal de</w:t>
    </w:r>
    <w:r>
      <w:rPr>
        <w:rFonts w:ascii="Arial" w:hAnsi="Arial" w:cs="Tahoma"/>
        <w:b/>
        <w:color w:val="808080"/>
        <w:sz w:val="14"/>
        <w:szCs w:val="16"/>
      </w:rPr>
      <w:t xml:space="preserve"> Administração</w:t>
    </w:r>
  </w:p>
  <w:p w14:paraId="59246D38" w14:textId="77777777" w:rsidR="008C5B09" w:rsidRPr="00050218" w:rsidRDefault="008C5B09" w:rsidP="008C5B09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 xml:space="preserve">Rua </w:t>
    </w:r>
    <w:r>
      <w:rPr>
        <w:rFonts w:ascii="Arial" w:hAnsi="Arial" w:cs="Tahoma"/>
        <w:b/>
        <w:color w:val="808080"/>
        <w:sz w:val="14"/>
        <w:szCs w:val="16"/>
      </w:rPr>
      <w:t>Virgulino de Queiroz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20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0 </w:t>
    </w:r>
  </w:p>
  <w:p w14:paraId="657EE56B" w14:textId="77777777" w:rsidR="008C5B09" w:rsidRPr="00050218" w:rsidRDefault="008C5B09" w:rsidP="008C5B09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>88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>-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Araranguá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Santa Catarina</w:t>
    </w:r>
  </w:p>
  <w:p w14:paraId="50341F2C" w14:textId="77777777" w:rsidR="008C5B09" w:rsidRPr="00050218" w:rsidRDefault="008C5B09" w:rsidP="008C5B09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>
      <w:rPr>
        <w:rFonts w:ascii="Arial" w:hAnsi="Arial" w:cs="Tahoma"/>
        <w:b/>
        <w:color w:val="808080"/>
        <w:sz w:val="14"/>
        <w:szCs w:val="16"/>
      </w:rPr>
      <w:t>Fone: 48 3521-0900</w:t>
    </w:r>
  </w:p>
  <w:p w14:paraId="7A9CCB00" w14:textId="77777777" w:rsidR="008C5B09" w:rsidRDefault="008C5B09" w:rsidP="008C5B09">
    <w:pPr>
      <w:pStyle w:val="Footer"/>
      <w:ind w:right="-285"/>
      <w:jc w:val="right"/>
    </w:pPr>
    <w:r w:rsidRPr="00050218">
      <w:rPr>
        <w:rFonts w:ascii="Arial" w:hAnsi="Arial" w:cs="Tahoma"/>
        <w:b/>
        <w:color w:val="808080"/>
        <w:sz w:val="14"/>
        <w:szCs w:val="16"/>
      </w:rPr>
      <w:t>www.</w:t>
    </w:r>
    <w:r>
      <w:rPr>
        <w:rFonts w:ascii="Arial" w:hAnsi="Arial" w:cs="Tahoma"/>
        <w:b/>
        <w:color w:val="808080"/>
        <w:sz w:val="14"/>
        <w:szCs w:val="16"/>
      </w:rPr>
      <w:t>ararangua.</w:t>
    </w:r>
    <w:r w:rsidRPr="00050218">
      <w:rPr>
        <w:rFonts w:ascii="Arial" w:hAnsi="Arial" w:cs="Tahoma"/>
        <w:b/>
        <w:color w:val="808080"/>
        <w:sz w:val="14"/>
        <w:szCs w:val="16"/>
      </w:rPr>
      <w:t>sc.gov.br</w:t>
    </w:r>
  </w:p>
  <w:p w14:paraId="4DB18A8F" w14:textId="42ABCDEF" w:rsidR="00572794" w:rsidRPr="008C5B09" w:rsidRDefault="00572794" w:rsidP="008C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857C" w14:textId="77777777" w:rsidR="004F7412" w:rsidRDefault="004F7412" w:rsidP="00412E68">
      <w:pPr>
        <w:spacing w:after="0" w:line="240" w:lineRule="auto"/>
      </w:pPr>
      <w:r>
        <w:separator/>
      </w:r>
    </w:p>
  </w:footnote>
  <w:footnote w:type="continuationSeparator" w:id="0">
    <w:p w14:paraId="59B0D06A" w14:textId="77777777" w:rsidR="004F7412" w:rsidRDefault="004F7412" w:rsidP="0041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327C" w14:textId="0E2DFCB8" w:rsidR="00572794" w:rsidRDefault="0053020C" w:rsidP="00412E68">
    <w:pPr>
      <w:pStyle w:val="Header"/>
      <w:jc w:val="right"/>
    </w:pPr>
    <w:r>
      <w:rPr>
        <w:noProof/>
      </w:rPr>
      <w:drawing>
        <wp:inline distT="0" distB="0" distL="0" distR="0" wp14:anchorId="1544DE63" wp14:editId="1073D6EB">
          <wp:extent cx="857250" cy="844550"/>
          <wp:effectExtent l="0" t="0" r="0" b="0"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D88C8" w14:textId="77777777" w:rsidR="00572794" w:rsidRDefault="00572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66"/>
    <w:multiLevelType w:val="hybridMultilevel"/>
    <w:tmpl w:val="00007983"/>
    <w:lvl w:ilvl="0" w:tplc="000075EF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95"/>
    <w:multiLevelType w:val="hybridMultilevel"/>
    <w:tmpl w:val="00007DAA"/>
    <w:lvl w:ilvl="0" w:tplc="00004F5B">
      <w:start w:val="10"/>
      <w:numFmt w:val="decimal"/>
      <w:lvlText w:val="30.%1."/>
      <w:lvlJc w:val="left"/>
      <w:pPr>
        <w:tabs>
          <w:tab w:val="num" w:pos="720"/>
        </w:tabs>
        <w:ind w:left="720" w:hanging="360"/>
      </w:pPr>
    </w:lvl>
    <w:lvl w:ilvl="1" w:tplc="0000256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96F"/>
    <w:multiLevelType w:val="hybridMultilevel"/>
    <w:tmpl w:val="000058D5"/>
    <w:lvl w:ilvl="0" w:tplc="00004ECF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BFC"/>
    <w:multiLevelType w:val="hybridMultilevel"/>
    <w:tmpl w:val="000013F5"/>
    <w:lvl w:ilvl="0" w:tplc="00001ECA">
      <w:start w:val="1"/>
      <w:numFmt w:val="decimal"/>
      <w:lvlText w:val="31.%1."/>
      <w:lvlJc w:val="left"/>
      <w:pPr>
        <w:tabs>
          <w:tab w:val="num" w:pos="720"/>
        </w:tabs>
        <w:ind w:left="720" w:hanging="360"/>
      </w:pPr>
    </w:lvl>
    <w:lvl w:ilvl="1" w:tplc="000042B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E4"/>
    <w:multiLevelType w:val="hybridMultilevel"/>
    <w:tmpl w:val="00005718"/>
    <w:lvl w:ilvl="0" w:tplc="0000749F">
      <w:start w:val="1"/>
      <w:numFmt w:val="decimal"/>
      <w:lvlText w:val="33.%1."/>
      <w:lvlJc w:val="left"/>
      <w:pPr>
        <w:tabs>
          <w:tab w:val="num" w:pos="720"/>
        </w:tabs>
        <w:ind w:left="720" w:hanging="360"/>
      </w:pPr>
    </w:lvl>
    <w:lvl w:ilvl="1" w:tplc="00002F15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7D3"/>
    <w:multiLevelType w:val="hybridMultilevel"/>
    <w:tmpl w:val="00007F0D"/>
    <w:lvl w:ilvl="0" w:tplc="000004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18AE2FC4"/>
    <w:lvl w:ilvl="0" w:tplc="9F82A5B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4D06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87C"/>
    <w:multiLevelType w:val="hybridMultilevel"/>
    <w:tmpl w:val="0000579C"/>
    <w:lvl w:ilvl="0" w:tplc="000032C1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A27"/>
    <w:multiLevelType w:val="hybridMultilevel"/>
    <w:tmpl w:val="00004D59"/>
    <w:lvl w:ilvl="0" w:tplc="0000594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42"/>
    <w:multiLevelType w:val="hybridMultilevel"/>
    <w:tmpl w:val="00000E00"/>
    <w:lvl w:ilvl="0" w:tplc="000074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FE">
      <w:start w:val="3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753"/>
    <w:multiLevelType w:val="hybridMultilevel"/>
    <w:tmpl w:val="000060BF"/>
    <w:lvl w:ilvl="0" w:tplc="00005C67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3CD6">
      <w:numFmt w:val="decimal"/>
      <w:lvlText w:val="12.1.%2.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940"/>
    <w:multiLevelType w:val="hybridMultilevel"/>
    <w:tmpl w:val="00001243"/>
    <w:lvl w:ilvl="0" w:tplc="0000328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96"/>
    <w:multiLevelType w:val="hybridMultilevel"/>
    <w:tmpl w:val="00006512"/>
    <w:lvl w:ilvl="0" w:tplc="00005F34">
      <w:start w:val="1"/>
      <w:numFmt w:val="decimal"/>
      <w:lvlText w:val="28.%1."/>
      <w:lvlJc w:val="left"/>
      <w:pPr>
        <w:tabs>
          <w:tab w:val="num" w:pos="720"/>
        </w:tabs>
        <w:ind w:left="720" w:hanging="360"/>
      </w:pPr>
    </w:lvl>
    <w:lvl w:ilvl="1" w:tplc="00004EB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2AE"/>
    <w:multiLevelType w:val="multilevel"/>
    <w:tmpl w:val="5D9CA47A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00078B4"/>
    <w:multiLevelType w:val="hybridMultilevel"/>
    <w:tmpl w:val="00004531"/>
    <w:lvl w:ilvl="0" w:tplc="00004A0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A6"/>
    <w:multiLevelType w:val="hybridMultilevel"/>
    <w:tmpl w:val="000006D8"/>
    <w:lvl w:ilvl="0" w:tplc="0000480B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16B4"/>
    <w:multiLevelType w:val="hybridMultilevel"/>
    <w:tmpl w:val="3F7267D4"/>
    <w:lvl w:ilvl="0" w:tplc="BEAA302A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40C1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A56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A51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CB8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40F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E8F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659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F2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3796582"/>
    <w:multiLevelType w:val="hybridMultilevel"/>
    <w:tmpl w:val="160ABB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2EA47EF"/>
    <w:multiLevelType w:val="hybridMultilevel"/>
    <w:tmpl w:val="CCBCD434"/>
    <w:lvl w:ilvl="0" w:tplc="FE86F58E">
      <w:start w:val="1"/>
      <w:numFmt w:val="lowerRoman"/>
      <w:lvlText w:val="(%1)"/>
      <w:lvlJc w:val="left"/>
      <w:pPr>
        <w:ind w:left="21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</w:lvl>
    <w:lvl w:ilvl="3" w:tplc="0416000F" w:tentative="1">
      <w:start w:val="1"/>
      <w:numFmt w:val="decimal"/>
      <w:lvlText w:val="%4."/>
      <w:lvlJc w:val="left"/>
      <w:pPr>
        <w:ind w:left="3941" w:hanging="360"/>
      </w:p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</w:lvl>
    <w:lvl w:ilvl="6" w:tplc="0416000F" w:tentative="1">
      <w:start w:val="1"/>
      <w:numFmt w:val="decimal"/>
      <w:lvlText w:val="%7."/>
      <w:lvlJc w:val="left"/>
      <w:pPr>
        <w:ind w:left="6101" w:hanging="360"/>
      </w:p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0" w15:restartNumberingAfterBreak="0">
    <w:nsid w:val="1940652A"/>
    <w:multiLevelType w:val="hybridMultilevel"/>
    <w:tmpl w:val="CCBCD434"/>
    <w:lvl w:ilvl="0" w:tplc="FE86F58E">
      <w:start w:val="1"/>
      <w:numFmt w:val="lowerRoman"/>
      <w:lvlText w:val="(%1)"/>
      <w:lvlJc w:val="left"/>
      <w:pPr>
        <w:ind w:left="21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</w:lvl>
    <w:lvl w:ilvl="3" w:tplc="0416000F" w:tentative="1">
      <w:start w:val="1"/>
      <w:numFmt w:val="decimal"/>
      <w:lvlText w:val="%4."/>
      <w:lvlJc w:val="left"/>
      <w:pPr>
        <w:ind w:left="3941" w:hanging="360"/>
      </w:p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</w:lvl>
    <w:lvl w:ilvl="6" w:tplc="0416000F" w:tentative="1">
      <w:start w:val="1"/>
      <w:numFmt w:val="decimal"/>
      <w:lvlText w:val="%7."/>
      <w:lvlJc w:val="left"/>
      <w:pPr>
        <w:ind w:left="6101" w:hanging="360"/>
      </w:p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1" w15:restartNumberingAfterBreak="0">
    <w:nsid w:val="1EAE2A76"/>
    <w:multiLevelType w:val="hybridMultilevel"/>
    <w:tmpl w:val="C52E22AC"/>
    <w:lvl w:ilvl="0" w:tplc="B1AEEBE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FCA465A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B6A6F"/>
    <w:multiLevelType w:val="hybridMultilevel"/>
    <w:tmpl w:val="00007F0D"/>
    <w:lvl w:ilvl="0" w:tplc="000004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23B6123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9580B"/>
    <w:multiLevelType w:val="hybridMultilevel"/>
    <w:tmpl w:val="00007F0D"/>
    <w:lvl w:ilvl="0" w:tplc="000004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D874CF1"/>
    <w:multiLevelType w:val="hybridMultilevel"/>
    <w:tmpl w:val="00004531"/>
    <w:lvl w:ilvl="0" w:tplc="00004A0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82763BB"/>
    <w:multiLevelType w:val="multilevel"/>
    <w:tmpl w:val="22FC9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98E32A5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3521D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458BA"/>
    <w:multiLevelType w:val="hybridMultilevel"/>
    <w:tmpl w:val="85EAC16E"/>
    <w:lvl w:ilvl="0" w:tplc="D8885EE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F4F0B6E"/>
    <w:multiLevelType w:val="hybridMultilevel"/>
    <w:tmpl w:val="4D8C60E6"/>
    <w:lvl w:ilvl="0" w:tplc="BE1011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EE556">
      <w:start w:val="1"/>
      <w:numFmt w:val="bullet"/>
      <w:lvlText w:val="o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9B9C">
      <w:start w:val="1"/>
      <w:numFmt w:val="bullet"/>
      <w:lvlText w:val="▪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C7BFE">
      <w:start w:val="1"/>
      <w:numFmt w:val="bullet"/>
      <w:lvlText w:val="•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835A">
      <w:start w:val="1"/>
      <w:numFmt w:val="bullet"/>
      <w:lvlRestart w:val="0"/>
      <w:lvlText w:val="•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A7AAC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8BD6C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67C0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CCF8E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917BC0"/>
    <w:multiLevelType w:val="hybridMultilevel"/>
    <w:tmpl w:val="6D68A0D6"/>
    <w:lvl w:ilvl="0" w:tplc="A8C04FC6">
      <w:start w:val="1"/>
      <w:numFmt w:val="lowerLetter"/>
      <w:lvlText w:val="%1)"/>
      <w:lvlJc w:val="left"/>
      <w:pPr>
        <w:ind w:left="3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A9D3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6D8F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C73A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6233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9D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257B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4B23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8AD3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4861BA3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A2905"/>
    <w:multiLevelType w:val="hybridMultilevel"/>
    <w:tmpl w:val="B1E04BEA"/>
    <w:lvl w:ilvl="0" w:tplc="FD80AC90">
      <w:start w:val="1"/>
      <w:numFmt w:val="lowerRoman"/>
      <w:lvlText w:val="(%1)"/>
      <w:lvlJc w:val="left"/>
      <w:pPr>
        <w:ind w:left="186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5" w15:restartNumberingAfterBreak="0">
    <w:nsid w:val="48372F1E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A83940"/>
    <w:multiLevelType w:val="hybridMultilevel"/>
    <w:tmpl w:val="780CC9EA"/>
    <w:lvl w:ilvl="0" w:tplc="AA60D1A0">
      <w:start w:val="1"/>
      <w:numFmt w:val="lowerLetter"/>
      <w:lvlText w:val="%1)"/>
      <w:lvlJc w:val="left"/>
      <w:pPr>
        <w:ind w:left="3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A9D3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6D8F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C73A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6233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9D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257B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4B23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8AD3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C6A5361"/>
    <w:multiLevelType w:val="hybridMultilevel"/>
    <w:tmpl w:val="00007983"/>
    <w:lvl w:ilvl="0" w:tplc="000075EF">
      <w:start w:val="1"/>
      <w:numFmt w:val="lowerRoman"/>
      <w:lvlText w:val="(%1)"/>
      <w:lvlJc w:val="left"/>
      <w:pPr>
        <w:tabs>
          <w:tab w:val="num" w:pos="1778"/>
        </w:tabs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E8C05D3"/>
    <w:multiLevelType w:val="multilevel"/>
    <w:tmpl w:val="1F0A2BDC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12B27F6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01D84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0699B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144CB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4347C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80DC8"/>
    <w:multiLevelType w:val="hybridMultilevel"/>
    <w:tmpl w:val="B89E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355C8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7C24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CF00A23"/>
    <w:multiLevelType w:val="hybridMultilevel"/>
    <w:tmpl w:val="2A4C2CF2"/>
    <w:lvl w:ilvl="0" w:tplc="B0EAAB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E230">
      <w:start w:val="1"/>
      <w:numFmt w:val="bullet"/>
      <w:lvlText w:val="o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417FE">
      <w:start w:val="1"/>
      <w:numFmt w:val="bullet"/>
      <w:lvlText w:val="▪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2231C">
      <w:start w:val="1"/>
      <w:numFmt w:val="bullet"/>
      <w:lvlText w:val="•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038D0">
      <w:start w:val="1"/>
      <w:numFmt w:val="bullet"/>
      <w:lvlRestart w:val="0"/>
      <w:lvlText w:val="•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83A24">
      <w:start w:val="1"/>
      <w:numFmt w:val="bullet"/>
      <w:lvlText w:val="▪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439AE">
      <w:start w:val="1"/>
      <w:numFmt w:val="bullet"/>
      <w:lvlText w:val="•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E154E">
      <w:start w:val="1"/>
      <w:numFmt w:val="bullet"/>
      <w:lvlText w:val="o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A95C2">
      <w:start w:val="1"/>
      <w:numFmt w:val="bullet"/>
      <w:lvlText w:val="▪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EBB55C2"/>
    <w:multiLevelType w:val="hybridMultilevel"/>
    <w:tmpl w:val="00007983"/>
    <w:lvl w:ilvl="0" w:tplc="000075EF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2904F5C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E37FF2"/>
    <w:multiLevelType w:val="hybridMultilevel"/>
    <w:tmpl w:val="8AAA390C"/>
    <w:lvl w:ilvl="0" w:tplc="000042BE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95A9F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6B0457"/>
    <w:multiLevelType w:val="hybridMultilevel"/>
    <w:tmpl w:val="57A26C56"/>
    <w:lvl w:ilvl="0" w:tplc="DB54A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2F978">
      <w:start w:val="1"/>
      <w:numFmt w:val="lowerLetter"/>
      <w:lvlText w:val="%2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8EF92">
      <w:start w:val="1"/>
      <w:numFmt w:val="lowerLetter"/>
      <w:lvlRestart w:val="0"/>
      <w:lvlText w:val="%3)"/>
      <w:lvlJc w:val="left"/>
      <w:pPr>
        <w:ind w:left="7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621C4">
      <w:start w:val="1"/>
      <w:numFmt w:val="decimal"/>
      <w:lvlText w:val="%4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2C052">
      <w:start w:val="1"/>
      <w:numFmt w:val="lowerLetter"/>
      <w:lvlText w:val="%5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0B69A">
      <w:start w:val="1"/>
      <w:numFmt w:val="lowerRoman"/>
      <w:lvlText w:val="%6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8D7DA">
      <w:start w:val="1"/>
      <w:numFmt w:val="decimal"/>
      <w:lvlText w:val="%7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46AD4">
      <w:start w:val="1"/>
      <w:numFmt w:val="lowerLetter"/>
      <w:lvlText w:val="%8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6816E">
      <w:start w:val="1"/>
      <w:numFmt w:val="lowerRoman"/>
      <w:lvlText w:val="%9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3799638">
    <w:abstractNumId w:val="14"/>
  </w:num>
  <w:num w:numId="2" w16cid:durableId="1308897647">
    <w:abstractNumId w:val="6"/>
  </w:num>
  <w:num w:numId="3" w16cid:durableId="855071525">
    <w:abstractNumId w:val="12"/>
  </w:num>
  <w:num w:numId="4" w16cid:durableId="393505276">
    <w:abstractNumId w:val="10"/>
  </w:num>
  <w:num w:numId="5" w16cid:durableId="1695573188">
    <w:abstractNumId w:val="0"/>
  </w:num>
  <w:num w:numId="6" w16cid:durableId="182550023">
    <w:abstractNumId w:val="13"/>
  </w:num>
  <w:num w:numId="7" w16cid:durableId="1172602047">
    <w:abstractNumId w:val="1"/>
  </w:num>
  <w:num w:numId="8" w16cid:durableId="1398868402">
    <w:abstractNumId w:val="3"/>
  </w:num>
  <w:num w:numId="9" w16cid:durableId="1254432086">
    <w:abstractNumId w:val="5"/>
  </w:num>
  <w:num w:numId="10" w16cid:durableId="1386106745">
    <w:abstractNumId w:val="15"/>
  </w:num>
  <w:num w:numId="11" w16cid:durableId="1054502404">
    <w:abstractNumId w:val="8"/>
  </w:num>
  <w:num w:numId="12" w16cid:durableId="1024089422">
    <w:abstractNumId w:val="7"/>
  </w:num>
  <w:num w:numId="13" w16cid:durableId="882907029">
    <w:abstractNumId w:val="4"/>
  </w:num>
  <w:num w:numId="14" w16cid:durableId="124157192">
    <w:abstractNumId w:val="9"/>
  </w:num>
  <w:num w:numId="15" w16cid:durableId="992637138">
    <w:abstractNumId w:val="11"/>
  </w:num>
  <w:num w:numId="16" w16cid:durableId="674193218">
    <w:abstractNumId w:val="2"/>
  </w:num>
  <w:num w:numId="17" w16cid:durableId="720594881">
    <w:abstractNumId w:val="16"/>
  </w:num>
  <w:num w:numId="18" w16cid:durableId="1679574098">
    <w:abstractNumId w:val="19"/>
  </w:num>
  <w:num w:numId="19" w16cid:durableId="241839966">
    <w:abstractNumId w:val="34"/>
  </w:num>
  <w:num w:numId="20" w16cid:durableId="1954631166">
    <w:abstractNumId w:val="25"/>
  </w:num>
  <w:num w:numId="21" w16cid:durableId="1353726662">
    <w:abstractNumId w:val="37"/>
  </w:num>
  <w:num w:numId="22" w16cid:durableId="48891186">
    <w:abstractNumId w:val="38"/>
  </w:num>
  <w:num w:numId="23" w16cid:durableId="1806654313">
    <w:abstractNumId w:val="46"/>
  </w:num>
  <w:num w:numId="24" w16cid:durableId="1185359652">
    <w:abstractNumId w:val="45"/>
  </w:num>
  <w:num w:numId="25" w16cid:durableId="1172138386">
    <w:abstractNumId w:val="24"/>
  </w:num>
  <w:num w:numId="26" w16cid:durableId="1262446018">
    <w:abstractNumId w:val="51"/>
  </w:num>
  <w:num w:numId="27" w16cid:durableId="2104261592">
    <w:abstractNumId w:val="41"/>
  </w:num>
  <w:num w:numId="28" w16cid:durableId="8222655">
    <w:abstractNumId w:val="44"/>
  </w:num>
  <w:num w:numId="29" w16cid:durableId="992375187">
    <w:abstractNumId w:val="22"/>
  </w:num>
  <w:num w:numId="30" w16cid:durableId="1682665162">
    <w:abstractNumId w:val="43"/>
  </w:num>
  <w:num w:numId="31" w16cid:durableId="584655826">
    <w:abstractNumId w:val="49"/>
  </w:num>
  <w:num w:numId="32" w16cid:durableId="1388144606">
    <w:abstractNumId w:val="29"/>
  </w:num>
  <w:num w:numId="33" w16cid:durableId="1537158246">
    <w:abstractNumId w:val="18"/>
  </w:num>
  <w:num w:numId="34" w16cid:durableId="1402752487">
    <w:abstractNumId w:val="20"/>
  </w:num>
  <w:num w:numId="35" w16cid:durableId="214438946">
    <w:abstractNumId w:val="50"/>
  </w:num>
  <w:num w:numId="36" w16cid:durableId="1994943229">
    <w:abstractNumId w:val="23"/>
  </w:num>
  <w:num w:numId="37" w16cid:durableId="145586685">
    <w:abstractNumId w:val="26"/>
  </w:num>
  <w:num w:numId="38" w16cid:durableId="1115366843">
    <w:abstractNumId w:val="30"/>
  </w:num>
  <w:num w:numId="39" w16cid:durableId="1899434507">
    <w:abstractNumId w:val="21"/>
  </w:num>
  <w:num w:numId="40" w16cid:durableId="1069574804">
    <w:abstractNumId w:val="40"/>
  </w:num>
  <w:num w:numId="41" w16cid:durableId="710422940">
    <w:abstractNumId w:val="28"/>
  </w:num>
  <w:num w:numId="42" w16cid:durableId="1158882835">
    <w:abstractNumId w:val="42"/>
  </w:num>
  <w:num w:numId="43" w16cid:durableId="640430518">
    <w:abstractNumId w:val="35"/>
  </w:num>
  <w:num w:numId="44" w16cid:durableId="1482114799">
    <w:abstractNumId w:val="33"/>
  </w:num>
  <w:num w:numId="45" w16cid:durableId="1732118845">
    <w:abstractNumId w:val="39"/>
  </w:num>
  <w:num w:numId="46" w16cid:durableId="1608348318">
    <w:abstractNumId w:val="48"/>
  </w:num>
  <w:num w:numId="47" w16cid:durableId="1949772361">
    <w:abstractNumId w:val="27"/>
  </w:num>
  <w:num w:numId="48" w16cid:durableId="628240519">
    <w:abstractNumId w:val="17"/>
  </w:num>
  <w:num w:numId="49" w16cid:durableId="1288705440">
    <w:abstractNumId w:val="31"/>
  </w:num>
  <w:num w:numId="50" w16cid:durableId="2048791987">
    <w:abstractNumId w:val="52"/>
  </w:num>
  <w:num w:numId="51" w16cid:durableId="873081125">
    <w:abstractNumId w:val="47"/>
  </w:num>
  <w:num w:numId="52" w16cid:durableId="55130148">
    <w:abstractNumId w:val="36"/>
  </w:num>
  <w:num w:numId="53" w16cid:durableId="617032649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68"/>
    <w:rsid w:val="00085746"/>
    <w:rsid w:val="000902CB"/>
    <w:rsid w:val="000B3F8C"/>
    <w:rsid w:val="000C622E"/>
    <w:rsid w:val="000D623E"/>
    <w:rsid w:val="0012401D"/>
    <w:rsid w:val="0014659E"/>
    <w:rsid w:val="0017151E"/>
    <w:rsid w:val="00180C00"/>
    <w:rsid w:val="001E213D"/>
    <w:rsid w:val="0028244D"/>
    <w:rsid w:val="002C4E98"/>
    <w:rsid w:val="00310DAA"/>
    <w:rsid w:val="00353786"/>
    <w:rsid w:val="003566EC"/>
    <w:rsid w:val="003E479E"/>
    <w:rsid w:val="00403EBC"/>
    <w:rsid w:val="00412E68"/>
    <w:rsid w:val="00462467"/>
    <w:rsid w:val="00464A79"/>
    <w:rsid w:val="00473DC8"/>
    <w:rsid w:val="00474FEC"/>
    <w:rsid w:val="004C43E8"/>
    <w:rsid w:val="004F7412"/>
    <w:rsid w:val="0053020C"/>
    <w:rsid w:val="00571628"/>
    <w:rsid w:val="00572794"/>
    <w:rsid w:val="0058274C"/>
    <w:rsid w:val="005A11A1"/>
    <w:rsid w:val="005A3773"/>
    <w:rsid w:val="005A6A3E"/>
    <w:rsid w:val="005B6CEE"/>
    <w:rsid w:val="005D52C5"/>
    <w:rsid w:val="005F4024"/>
    <w:rsid w:val="00621189"/>
    <w:rsid w:val="006325EF"/>
    <w:rsid w:val="0065021E"/>
    <w:rsid w:val="006746DB"/>
    <w:rsid w:val="006B36B4"/>
    <w:rsid w:val="006B6ED9"/>
    <w:rsid w:val="006C5391"/>
    <w:rsid w:val="006F13A3"/>
    <w:rsid w:val="00716275"/>
    <w:rsid w:val="007247D3"/>
    <w:rsid w:val="00753512"/>
    <w:rsid w:val="00791CDC"/>
    <w:rsid w:val="007F0B5F"/>
    <w:rsid w:val="007F2F5B"/>
    <w:rsid w:val="007F5DDA"/>
    <w:rsid w:val="00820118"/>
    <w:rsid w:val="00836137"/>
    <w:rsid w:val="0087063F"/>
    <w:rsid w:val="0088423D"/>
    <w:rsid w:val="008C5B09"/>
    <w:rsid w:val="008F20B5"/>
    <w:rsid w:val="00910021"/>
    <w:rsid w:val="00951B58"/>
    <w:rsid w:val="00973192"/>
    <w:rsid w:val="00996219"/>
    <w:rsid w:val="00A07075"/>
    <w:rsid w:val="00A1504C"/>
    <w:rsid w:val="00A20244"/>
    <w:rsid w:val="00A24DCF"/>
    <w:rsid w:val="00A45498"/>
    <w:rsid w:val="00A82DB0"/>
    <w:rsid w:val="00AE041C"/>
    <w:rsid w:val="00AE20C1"/>
    <w:rsid w:val="00B121B0"/>
    <w:rsid w:val="00B14577"/>
    <w:rsid w:val="00B441B9"/>
    <w:rsid w:val="00C136C9"/>
    <w:rsid w:val="00C26FD9"/>
    <w:rsid w:val="00C278A0"/>
    <w:rsid w:val="00C35469"/>
    <w:rsid w:val="00C40960"/>
    <w:rsid w:val="00CE44DC"/>
    <w:rsid w:val="00CF620B"/>
    <w:rsid w:val="00D03499"/>
    <w:rsid w:val="00DB3AF2"/>
    <w:rsid w:val="00DD7C86"/>
    <w:rsid w:val="00DF52EB"/>
    <w:rsid w:val="00E11B56"/>
    <w:rsid w:val="00EB6F98"/>
    <w:rsid w:val="00EE33B8"/>
    <w:rsid w:val="00EF3216"/>
    <w:rsid w:val="00F01E1B"/>
    <w:rsid w:val="00F15ACA"/>
    <w:rsid w:val="00F161EA"/>
    <w:rsid w:val="00F2076A"/>
    <w:rsid w:val="00F35AC4"/>
    <w:rsid w:val="00F50024"/>
    <w:rsid w:val="00F73433"/>
    <w:rsid w:val="00F901EA"/>
    <w:rsid w:val="00FC3EF7"/>
    <w:rsid w:val="00FD269F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77500F"/>
  <w15:chartTrackingRefBased/>
  <w15:docId w15:val="{9FC1384D-5BCE-4FB5-BB69-1903694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A79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pt-B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64A79"/>
    <w:pPr>
      <w:widowControl w:val="0"/>
      <w:overflowPunct w:val="0"/>
      <w:autoSpaceDE w:val="0"/>
      <w:autoSpaceDN w:val="0"/>
      <w:adjustRightInd w:val="0"/>
      <w:ind w:left="0"/>
      <w:jc w:val="both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6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68"/>
  </w:style>
  <w:style w:type="paragraph" w:styleId="Footer">
    <w:name w:val="footer"/>
    <w:basedOn w:val="Normal"/>
    <w:link w:val="Foot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68"/>
  </w:style>
  <w:style w:type="paragraph" w:styleId="BalloonText">
    <w:name w:val="Balloon Text"/>
    <w:basedOn w:val="Normal"/>
    <w:link w:val="BalloonTextChar"/>
    <w:uiPriority w:val="99"/>
    <w:semiHidden/>
    <w:unhideWhenUsed/>
    <w:rsid w:val="00412E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2E68"/>
    <w:rPr>
      <w:rFonts w:ascii="Tahoma" w:hAnsi="Tahoma" w:cs="Tahoma"/>
      <w:sz w:val="16"/>
      <w:szCs w:val="16"/>
    </w:rPr>
  </w:style>
  <w:style w:type="paragraph" w:customStyle="1" w:styleId="Corpo">
    <w:name w:val="Corpo"/>
    <w:rsid w:val="0017151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paragraph" w:styleId="HTMLPreformatted">
    <w:name w:val="HTML Preformatted"/>
    <w:basedOn w:val="Normal"/>
    <w:link w:val="HTMLPreformattedChar"/>
    <w:rsid w:val="00A20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pt-BR"/>
    </w:rPr>
  </w:style>
  <w:style w:type="character" w:customStyle="1" w:styleId="HTMLPreformattedChar">
    <w:name w:val="HTML Preformatted Char"/>
    <w:link w:val="HTMLPreformatted"/>
    <w:rsid w:val="00A20244"/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character" w:customStyle="1" w:styleId="WW-Absatz-Standardschriftart1">
    <w:name w:val="WW-Absatz-Standardschriftart1"/>
    <w:rsid w:val="005B6CEE"/>
  </w:style>
  <w:style w:type="character" w:customStyle="1" w:styleId="Heading1Char">
    <w:name w:val="Heading 1 Char"/>
    <w:link w:val="Heading1"/>
    <w:uiPriority w:val="9"/>
    <w:rsid w:val="00464A79"/>
    <w:rPr>
      <w:rFonts w:ascii="Cambria" w:eastAsia="Times New Roman" w:hAnsi="Cambria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464A79"/>
    <w:rPr>
      <w:rFonts w:eastAsia="Times New Roman" w:cs="Arial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4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A79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rsid w:val="00464A7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4A79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464A79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aliases w:val="Itemização,PPP 04"/>
    <w:basedOn w:val="Normal"/>
    <w:link w:val="ListParagraphChar"/>
    <w:uiPriority w:val="34"/>
    <w:qFormat/>
    <w:rsid w:val="00464A7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t-BR"/>
    </w:rPr>
  </w:style>
  <w:style w:type="character" w:customStyle="1" w:styleId="ListParagraphChar">
    <w:name w:val="List Paragraph Char"/>
    <w:aliases w:val="Itemização Char,PPP 04 Char"/>
    <w:link w:val="ListParagraph"/>
    <w:uiPriority w:val="34"/>
    <w:rsid w:val="00464A79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4A7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BodyTextChar">
    <w:name w:val="Body Text Char"/>
    <w:link w:val="BodyText"/>
    <w:uiPriority w:val="1"/>
    <w:rsid w:val="00464A79"/>
    <w:rPr>
      <w:rFonts w:ascii="Times New Roman" w:eastAsia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64A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4A79"/>
    <w:pPr>
      <w:tabs>
        <w:tab w:val="left" w:pos="1560"/>
        <w:tab w:val="right" w:leader="dot" w:pos="9490"/>
      </w:tabs>
      <w:spacing w:before="120" w:after="0" w:line="240" w:lineRule="auto"/>
    </w:pPr>
    <w:rPr>
      <w:rFonts w:eastAsia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464A7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64A79"/>
    <w:pPr>
      <w:spacing w:after="0" w:line="240" w:lineRule="auto"/>
      <w:ind w:left="220"/>
    </w:pPr>
    <w:rPr>
      <w:rFonts w:eastAsia="Times New Roman"/>
      <w:b/>
      <w:bCs/>
      <w:sz w:val="24"/>
      <w:szCs w:val="24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464A79"/>
    <w:pPr>
      <w:spacing w:after="0" w:line="240" w:lineRule="auto"/>
      <w:ind w:left="440"/>
    </w:pPr>
    <w:rPr>
      <w:rFonts w:eastAsia="Times New Roman"/>
      <w:sz w:val="24"/>
      <w:szCs w:val="24"/>
      <w:lang w:eastAsia="pt-BR"/>
    </w:rPr>
  </w:style>
  <w:style w:type="paragraph" w:styleId="TOC4">
    <w:name w:val="toc 4"/>
    <w:basedOn w:val="Normal"/>
    <w:next w:val="Normal"/>
    <w:autoRedefine/>
    <w:uiPriority w:val="39"/>
    <w:unhideWhenUsed/>
    <w:rsid w:val="00464A79"/>
    <w:pPr>
      <w:spacing w:after="0" w:line="240" w:lineRule="auto"/>
      <w:ind w:left="660"/>
    </w:pPr>
    <w:rPr>
      <w:rFonts w:eastAsia="Times New Roman"/>
      <w:sz w:val="20"/>
      <w:szCs w:val="20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464A79"/>
    <w:pPr>
      <w:spacing w:after="0" w:line="240" w:lineRule="auto"/>
      <w:ind w:left="880"/>
    </w:pPr>
    <w:rPr>
      <w:rFonts w:eastAsia="Times New Roman"/>
      <w:sz w:val="20"/>
      <w:szCs w:val="20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464A79"/>
    <w:pPr>
      <w:spacing w:after="0" w:line="240" w:lineRule="auto"/>
      <w:ind w:left="1100"/>
    </w:pPr>
    <w:rPr>
      <w:rFonts w:eastAsia="Times New Roman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464A79"/>
    <w:pPr>
      <w:spacing w:after="0" w:line="240" w:lineRule="auto"/>
      <w:ind w:left="1320"/>
    </w:pPr>
    <w:rPr>
      <w:rFonts w:eastAsia="Times New Roman"/>
      <w:sz w:val="20"/>
      <w:szCs w:val="20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464A79"/>
    <w:pPr>
      <w:spacing w:after="0" w:line="240" w:lineRule="auto"/>
      <w:ind w:left="1540"/>
    </w:pPr>
    <w:rPr>
      <w:rFonts w:eastAsia="Times New Roman"/>
      <w:sz w:val="20"/>
      <w:szCs w:val="20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464A79"/>
    <w:pPr>
      <w:spacing w:after="0" w:line="240" w:lineRule="auto"/>
      <w:ind w:left="1760"/>
    </w:pPr>
    <w:rPr>
      <w:rFonts w:eastAsia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464A79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4A79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  <w:lang w:eastAsia="pt-BR"/>
    </w:rPr>
  </w:style>
  <w:style w:type="character" w:customStyle="1" w:styleId="TitleChar">
    <w:name w:val="Title Char"/>
    <w:link w:val="Title"/>
    <w:uiPriority w:val="10"/>
    <w:rsid w:val="00464A79"/>
    <w:rPr>
      <w:rFonts w:eastAsia="Times New Roman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64A7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character" w:customStyle="1" w:styleId="fontstyle01">
    <w:name w:val="fontstyle01"/>
    <w:rsid w:val="00464A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464A7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746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6D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6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6D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6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6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6746DB"/>
  </w:style>
  <w:style w:type="paragraph" w:styleId="FootnoteText">
    <w:name w:val="footnote text"/>
    <w:basedOn w:val="Normal"/>
    <w:link w:val="FootnoteTextChar"/>
    <w:uiPriority w:val="99"/>
    <w:semiHidden/>
    <w:unhideWhenUsed/>
    <w:rsid w:val="006746D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6DB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9E9F-57A7-417C-8BF7-618BA1B8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1711</Words>
  <Characters>11710</Characters>
  <Application>Microsoft Office Word</Application>
  <DocSecurity>0</DocSecurity>
  <Lines>532</Lines>
  <Paragraphs>279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Beznos</dc:creator>
  <cp:keywords/>
  <dc:description/>
  <cp:lastModifiedBy>Vera Beznos</cp:lastModifiedBy>
  <cp:revision>3</cp:revision>
  <cp:lastPrinted>2019-10-24T17:42:00Z</cp:lastPrinted>
  <dcterms:created xsi:type="dcterms:W3CDTF">2022-12-28T19:11:00Z</dcterms:created>
  <dcterms:modified xsi:type="dcterms:W3CDTF">2022-12-28T19:19:00Z</dcterms:modified>
  <cp:category/>
</cp:coreProperties>
</file>